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bCs/>
          <w:sz w:val="24"/>
          <w:szCs w:val="24"/>
          <w:u w:val="single"/>
          <w:lang w:val="it-IT"/>
        </w:rPr>
      </w:pPr>
      <w:r>
        <w:rPr>
          <w:rFonts w:cs="Times New Roman" w:ascii="Times New Roman" w:hAnsi="Times New Roman"/>
          <w:b/>
          <w:bCs/>
          <w:sz w:val="24"/>
          <w:szCs w:val="24"/>
          <w:u w:val="single"/>
          <w:lang w:val="it-IT"/>
        </w:rPr>
        <w:t>LE PIATTAFORME PER LA RACCOLTA DIFFERENZIATA</w:t>
      </w:r>
    </w:p>
    <w:p>
      <w:pPr>
        <w:pStyle w:val="Normal"/>
        <w:rPr>
          <w:rFonts w:ascii="Times New Roman" w:hAnsi="Times New Roman" w:cs="Times New Roman"/>
          <w:sz w:val="24"/>
          <w:szCs w:val="24"/>
          <w:lang w:val="it-IT"/>
        </w:rPr>
      </w:pPr>
      <w:r>
        <w:rPr>
          <w:rFonts w:cs="Times New Roman" w:ascii="Times New Roman" w:hAnsi="Times New Roman"/>
          <w:sz w:val="24"/>
          <w:szCs w:val="24"/>
          <w:lang w:val="it-IT"/>
        </w:rPr>
        <w:t xml:space="preserve"> </w:t>
      </w:r>
    </w:p>
    <w:p>
      <w:pPr>
        <w:pStyle w:val="Normal"/>
        <w:rPr>
          <w:rFonts w:ascii="Times New Roman" w:hAnsi="Times New Roman" w:cs="Times New Roman"/>
          <w:b/>
          <w:b/>
          <w:bCs/>
          <w:sz w:val="24"/>
          <w:szCs w:val="24"/>
          <w:u w:val="single"/>
          <w:lang w:val="it-IT"/>
        </w:rPr>
      </w:pPr>
      <w:r>
        <w:rPr>
          <w:rFonts w:cs="Times New Roman" w:ascii="Times New Roman" w:hAnsi="Times New Roman"/>
          <w:b/>
          <w:bCs/>
          <w:sz w:val="24"/>
          <w:szCs w:val="24"/>
          <w:u w:val="single"/>
          <w:lang w:val="it-IT"/>
        </w:rPr>
        <w:t>Cosa sono le piattaforme per la Raccolta Differenziata dei Rifiuti Urbani o assimilati.</w:t>
      </w:r>
    </w:p>
    <w:p>
      <w:pPr>
        <w:pStyle w:val="Normal"/>
        <w:jc w:val="both"/>
        <w:rPr>
          <w:rFonts w:ascii="Times New Roman" w:hAnsi="Times New Roman" w:cs="Times New Roman"/>
          <w:sz w:val="24"/>
          <w:szCs w:val="24"/>
          <w:lang w:val="it-IT"/>
        </w:rPr>
      </w:pPr>
      <w:r>
        <w:rPr>
          <w:rFonts w:cs="Times New Roman" w:ascii="Times New Roman" w:hAnsi="Times New Roman"/>
          <w:sz w:val="24"/>
          <w:szCs w:val="24"/>
          <w:lang w:val="it-IT"/>
        </w:rPr>
        <w:t>Si tratta di strutture pubbliche, di dimensioni anche importanti, nate appositamente per consentire il conferimento dei rifiuti da parte dei cittadini residenti nel Comune in cui l’impianto si trova o anche di altri, se sono stati stretti accordi fra Comuni per asservire all’impianto un bacino sovraccomunale, al fine di ottimizzare spese ed impatto sul territorio. L’utilizzo di questi impianti è inoltre consentito al gestore del servizio pubblico per la raccolta dei rifiuti ed eventualmente alle aziende presenti sul territorio del bacino servito (comunale o sovracomunale) solo però in seguito a precisi accordi stipulati fra Comune ed azienda, che esplicitino in modo inequivocabile qualità e quantità dei rifiuti conferibili, nonché le modalità di conferimento. Qualora la struttura e le modalità di deposito lo consentano, è possibile il conferimento anche degli altri soggetti tenuti, in base alle vigenti normative settoriali, al ritiro di specifiche tipologie di rifiuti dalle utenze domestiche. Ad esempio, i rivenditori di apparecchiature elettriche ed elettroniche sono tenuti al ritiro dell’apparecchiatura che viene sostituita e che si configura, da quel momento, come un rifiuto (RAEE). In base a specifici accordi col gestore dell’impianto, tali rivenditori possono decidere di conferire poi i RAEE così ottenuti presso la piattaforma comunale, qualora la stessa sia in possesso dell’autorizzazione a ricevere i codici specifici per quelle tipologie di rifiuto.</w:t>
      </w:r>
    </w:p>
    <w:p>
      <w:pPr>
        <w:pStyle w:val="Normal"/>
        <w:jc w:val="both"/>
        <w:rPr>
          <w:rFonts w:ascii="Times New Roman" w:hAnsi="Times New Roman" w:cs="Times New Roman"/>
          <w:sz w:val="24"/>
          <w:szCs w:val="24"/>
          <w:lang w:val="it-IT"/>
        </w:rPr>
      </w:pPr>
      <w:r>
        <w:rPr>
          <w:rFonts w:cs="Times New Roman" w:ascii="Times New Roman" w:hAnsi="Times New Roman"/>
          <w:sz w:val="24"/>
          <w:szCs w:val="24"/>
          <w:lang w:val="it-IT"/>
        </w:rPr>
        <w:t xml:space="preserve">Nella piattaforma possono essere svolte operazioni finalizzate ad ottimizzare il trasporto e la valorizzazione dei rifiuti conferiti nonché operazioni preliminari per il trattamento e/o il recupero dei rifiuti. È ad esempio possibile effettuare il trasbordo di frazioni raccolte dal gestore del servizio pubblico sul territorio, la compattazione (anche con impianti fissi), la cernita (intesa come differenziazione nel conferimento del materiale), la triturazione, la preventiva separazione di parti del rifiuto, con conseguente selezione delle parti del materiale conferito ed il compostaggio della frazione organica costituita da rifiuti vegetali provenienti da aree pubbliche e private. Qualora venga previsto il trasbordo della frazione organica presso l’impianto, questa deve essere stoccata in cassoni a tenuta stagna dotati di sistema di chiusura ed avviata agli impianti di recupero entro 48 od al massimo 72 ore (in caso di più giorni festivi consecutivi). </w:t>
      </w:r>
    </w:p>
    <w:p>
      <w:pPr>
        <w:pStyle w:val="Normal"/>
        <w:jc w:val="both"/>
        <w:rPr>
          <w:rFonts w:ascii="Times New Roman" w:hAnsi="Times New Roman" w:cs="Times New Roman"/>
          <w:sz w:val="24"/>
          <w:szCs w:val="24"/>
          <w:lang w:val="it-IT"/>
        </w:rPr>
      </w:pPr>
      <w:r>
        <w:rPr>
          <w:rFonts w:cs="Times New Roman" w:ascii="Times New Roman" w:hAnsi="Times New Roman"/>
          <w:sz w:val="24"/>
          <w:szCs w:val="24"/>
          <w:lang w:val="it-IT"/>
        </w:rPr>
        <w:t>La realizzazione e gestione di questi impianti è legata all’Autorizzazione Unica, rilasciata dalla Città metropolitana di Milano ai sensi dell’art 208 del D. Lgs. 152/06, all’interno della quale sono codificate le azioni da adottare nelle fasi realizzativa e gestionale, le prescrizioni specifiche a cui fare riferimento, le tipologie di frazioni conferibili nell’impianto, ognuna identificata col proprio codice CER e la sua modalità di stoccaggio.</w:t>
      </w:r>
    </w:p>
    <w:p>
      <w:pPr>
        <w:pStyle w:val="Normal"/>
        <w:spacing w:lineRule="auto" w:line="240"/>
        <w:jc w:val="both"/>
        <w:rPr>
          <w:rFonts w:ascii="Times New Roman" w:hAnsi="Times New Roman" w:cs="Times New Roman"/>
          <w:sz w:val="24"/>
          <w:szCs w:val="24"/>
          <w:lang w:val="it-IT"/>
        </w:rPr>
      </w:pPr>
      <w:r>
        <w:rPr>
          <w:rFonts w:cs="Times New Roman" w:ascii="Times New Roman" w:hAnsi="Times New Roman"/>
          <w:sz w:val="24"/>
          <w:szCs w:val="24"/>
          <w:lang w:val="it-IT"/>
        </w:rPr>
        <w:t>Le piattaforme soggette ad Autorizzazione Unica ai sensi dell’art. 208 del D. Lgs. 152/2006 ed all’art 16 della L.R. n. 26 del 12.12.2003, dovrebbero idealmente avere un bacino d’utenza non inferiore a 10000 abitanti: per bacini inferiori può essere sufficiente l’attivazione, ai sensi del DM 8/4/2008, di un centro di raccolta, non soggetto ad autorizzazione da parte di Città metropolitana.</w:t>
      </w:r>
    </w:p>
    <w:p>
      <w:pPr>
        <w:pStyle w:val="Normal"/>
        <w:jc w:val="both"/>
        <w:rPr>
          <w:rFonts w:ascii="Times New Roman" w:hAnsi="Times New Roman" w:cs="Times New Roman"/>
          <w:sz w:val="24"/>
          <w:szCs w:val="24"/>
          <w:lang w:val="it-IT"/>
        </w:rPr>
      </w:pPr>
      <w:r>
        <w:rPr>
          <w:rFonts w:cs="Times New Roman" w:ascii="Times New Roman" w:hAnsi="Times New Roman"/>
          <w:sz w:val="24"/>
          <w:szCs w:val="24"/>
          <w:lang w:val="it-IT"/>
        </w:rPr>
        <w:t>Il titolare dell’autorizzazione è un soggetto pubblico (Comune o Azienda), e la gestione può essere svolta direttamente dallo stesso od appaltata ad aziende iscritte all’Albo Nazionale Gestori Ambientali per la categoria corrispondente (rifiuti urbani). Nel caso di piattaforme a servizio di più Comuni, i rapporti tra soggetto gestore della piattaforma e Comuni diversi da quello in cui insiste la stessa sono regolati da apposita convenzione.</w:t>
      </w:r>
    </w:p>
    <w:p>
      <w:pPr>
        <w:pStyle w:val="Normal"/>
        <w:jc w:val="both"/>
        <w:rPr>
          <w:rFonts w:ascii="Times New Roman" w:hAnsi="Times New Roman" w:cs="Times New Roman"/>
          <w:sz w:val="24"/>
          <w:szCs w:val="24"/>
          <w:lang w:val="it-IT"/>
        </w:rPr>
      </w:pPr>
      <w:r>
        <w:rPr>
          <w:rFonts w:cs="Times New Roman" w:ascii="Times New Roman" w:hAnsi="Times New Roman"/>
          <w:sz w:val="24"/>
          <w:szCs w:val="24"/>
          <w:lang w:val="it-IT"/>
        </w:rPr>
      </w:r>
    </w:p>
    <w:p>
      <w:pPr>
        <w:pStyle w:val="Normal"/>
        <w:jc w:val="both"/>
        <w:rPr>
          <w:rFonts w:ascii="Times New Roman" w:hAnsi="Times New Roman" w:cs="Times New Roman"/>
          <w:b/>
          <w:b/>
          <w:bCs/>
          <w:sz w:val="24"/>
          <w:szCs w:val="24"/>
          <w:u w:val="single"/>
          <w:lang w:val="it-IT"/>
        </w:rPr>
      </w:pPr>
      <w:r>
        <w:rPr>
          <w:rFonts w:cs="Times New Roman" w:ascii="Times New Roman" w:hAnsi="Times New Roman"/>
          <w:b/>
          <w:bCs/>
          <w:sz w:val="24"/>
          <w:szCs w:val="24"/>
          <w:u w:val="single"/>
          <w:lang w:val="it-IT"/>
        </w:rPr>
        <w:t>Caratteristiche e modalità gestionali delle piattaforme</w:t>
      </w:r>
    </w:p>
    <w:p>
      <w:pPr>
        <w:pStyle w:val="Normal"/>
        <w:spacing w:lineRule="auto" w:line="240" w:before="0" w:after="0"/>
        <w:jc w:val="both"/>
        <w:rPr>
          <w:rFonts w:ascii="Times New Roman" w:hAnsi="Times New Roman" w:cs="Times New Roman"/>
          <w:sz w:val="24"/>
          <w:szCs w:val="24"/>
          <w:lang w:val="it-IT"/>
        </w:rPr>
      </w:pPr>
      <w:r>
        <w:rPr>
          <w:rFonts w:cs="Times New Roman" w:ascii="Times New Roman" w:hAnsi="Times New Roman"/>
          <w:sz w:val="24"/>
          <w:szCs w:val="24"/>
          <w:lang w:val="it-IT"/>
        </w:rPr>
        <w:t>È importante osservare che, in quanto trattasi di impianti per attività di raccolta di frazioni omogenee di rifiuti urbani e assimilati, la quale si configura come un servizio pubblico essenziale per la tutela della salute, possono non rispettare le distanze di tutela previste per gli altri impianti che trattano rifiuti, quali quelle da case sparse o centri abitati.</w:t>
      </w:r>
    </w:p>
    <w:p>
      <w:pPr>
        <w:pStyle w:val="Normal"/>
        <w:spacing w:lineRule="auto" w:line="240" w:before="0" w:after="0"/>
        <w:jc w:val="both"/>
        <w:rPr>
          <w:rFonts w:ascii="Times New Roman" w:hAnsi="Times New Roman" w:cs="Times New Roman"/>
          <w:sz w:val="24"/>
          <w:szCs w:val="24"/>
          <w:lang w:val="it-IT"/>
        </w:rPr>
      </w:pPr>
      <w:r>
        <w:rPr>
          <w:rFonts w:cs="Times New Roman" w:ascii="Times New Roman" w:hAnsi="Times New Roman"/>
          <w:sz w:val="24"/>
          <w:szCs w:val="24"/>
          <w:lang w:val="it-IT"/>
        </w:rPr>
        <w:t>Nel PRGR Lombardia approvato con D.G.R. n° 1990 del 20 giugno 2014 e valido per il periodo 2014/2020, sono comunque indicati i criteri di valutazione delle caratteristiche ambientali da prendere in considerazione per la scelta delle aree in cui realizzare i nuovi impianti rifiuti. Tali caratteristiche sono raggruppate in tre grandi categorie: escludenti, penalizzanti e preferenziali. È in questo PRGR che vengono indicate le distanze minime da mantenere fra impianti rifiuti ed aree urbane, con l’espressa indicazione che sono escluse dal rispetto di questa norma tutti gli impianti in cui le operazioni autorizzate sono esclusivamente la messa in riserva [R13], il deposito preliminare [D15] e l’adeguamento volumetrico senza modifica dei codici CER, descrizione che coincide perfettamente con le caratteristiche tipiche di una piattaforma comunale per la gestione dei rifiuti. L’unico criterio escludente che rimane valido anche per questa tipologia di impianti è la “destinazione urbanistica agricola individuata dallo strumento urbanistico comunale generale (P.G.T. / P.R.G.) o da P.T.C. dei parchi”.</w:t>
      </w:r>
    </w:p>
    <w:p>
      <w:pPr>
        <w:pStyle w:val="Normal"/>
        <w:spacing w:lineRule="auto" w:line="240" w:before="0" w:after="0"/>
        <w:jc w:val="both"/>
        <w:rPr>
          <w:rFonts w:ascii="Times New Roman" w:hAnsi="Times New Roman" w:cs="Times New Roman"/>
          <w:sz w:val="24"/>
          <w:szCs w:val="24"/>
          <w:lang w:val="it-IT"/>
        </w:rPr>
      </w:pPr>
      <w:r>
        <w:rPr>
          <w:rFonts w:cs="Times New Roman" w:ascii="Times New Roman" w:hAnsi="Times New Roman"/>
          <w:sz w:val="24"/>
          <w:szCs w:val="24"/>
          <w:lang w:val="it-IT"/>
        </w:rPr>
      </w:r>
    </w:p>
    <w:p>
      <w:pPr>
        <w:pStyle w:val="Normal"/>
        <w:spacing w:lineRule="auto" w:line="240" w:before="0" w:after="0"/>
        <w:jc w:val="both"/>
        <w:rPr>
          <w:rFonts w:ascii="Times New Roman" w:hAnsi="Times New Roman" w:cs="Times New Roman"/>
          <w:sz w:val="24"/>
          <w:szCs w:val="24"/>
          <w:lang w:val="it-IT"/>
        </w:rPr>
      </w:pPr>
      <w:r>
        <w:rPr>
          <w:rFonts w:cs="Times New Roman" w:ascii="Times New Roman" w:hAnsi="Times New Roman"/>
          <w:sz w:val="24"/>
          <w:szCs w:val="24"/>
          <w:lang w:val="it-IT"/>
        </w:rPr>
        <w:t>Il sito scelto deve essere in piena disponibilità del titolare dell’autorizzazione all’esercizio dell’impianto stesso (che può esserne il proprietario od aver sottoscritto un contratto di affitto od usufrutto o concessione), per un periodo pari o superiore alla durata dell’autorizzazione. Deve inoltre rispettare quei vincoli escludenti che derivano anche da altre normative di settore (ad esempio distanze da pozzi ad uso acqua potabile, da corsi d’acqua, fascia A e B PAI, cimiteri, ecc…) o penalizzanti (fasce di rispetto stradali, elettrodotti, di parco, ambientale, ecc. …) che possono limitare le potenzialità progettuali. Qualora sulle aree scelte per la realizzazione dell’impianto siano presenti eventuali vincoli penalizzanti – ma non escludenti – in sede istruttoria per il rilascio dell’autorizzazione alla realizzazione di un nuovo impianto, gli stessi verranno valutati e considerati da parte degli Enti interessati. Questi stessi vincoli andranno risegnalati ogni volta che si vorrà richiedere un rinnovo dell’autorizzazione o l’approvazione di una variante, ma saranno rivalutati solamente nel caso in cui siano subentrate modifiche normative o variazioni nell’intorno dell’impianto. Il progetto iniziale, che dovrà illustrare anche le potenzialità dell’impianto e le modalità della sua gestione, dovrà tenere conto dei vincoli presenti i quali, in caso di conclusione positiva dell’iter istruttorio, andranno espressamente citati anche nell’autorizzazione rilasciata dall’Ente preposto.</w:t>
      </w:r>
    </w:p>
    <w:p>
      <w:pPr>
        <w:pStyle w:val="Normal"/>
        <w:spacing w:lineRule="auto" w:line="240" w:before="0" w:after="0"/>
        <w:jc w:val="both"/>
        <w:rPr>
          <w:rFonts w:ascii="Times New Roman" w:hAnsi="Times New Roman" w:cs="Times New Roman"/>
          <w:sz w:val="24"/>
          <w:szCs w:val="24"/>
          <w:lang w:val="it-IT"/>
        </w:rPr>
      </w:pPr>
      <w:r>
        <w:rPr>
          <w:rFonts w:cs="Times New Roman" w:ascii="Times New Roman" w:hAnsi="Times New Roman"/>
          <w:sz w:val="24"/>
          <w:szCs w:val="24"/>
          <w:lang w:val="it-IT"/>
        </w:rPr>
      </w:r>
    </w:p>
    <w:p>
      <w:pPr>
        <w:pStyle w:val="Normal"/>
        <w:spacing w:lineRule="auto" w:line="240" w:before="0" w:after="0"/>
        <w:jc w:val="both"/>
        <w:rPr>
          <w:rFonts w:ascii="Times New Roman" w:hAnsi="Times New Roman" w:cs="Times New Roman"/>
          <w:sz w:val="24"/>
          <w:szCs w:val="24"/>
          <w:lang w:val="it-IT"/>
        </w:rPr>
      </w:pPr>
      <w:r>
        <w:rPr>
          <w:rFonts w:cs="Times New Roman" w:ascii="Times New Roman" w:hAnsi="Times New Roman"/>
          <w:sz w:val="24"/>
          <w:szCs w:val="24"/>
          <w:lang w:val="it-IT"/>
        </w:rPr>
        <w:t>L’impianto deve essere localizzato in aree servite dalla rete viaria di scorrimento urbano, per facilitare l'accesso degli utenti, ed avere al suo interno una viabilità adeguata a consentire l'accesso sia alle autovetture o ai piccoli mezzi degli utenti, sia ai mezzi pesanti che necessitano di entrare per caricare i rifiuti da conferire presso gli impianti di recupero e/o smaltimento.</w:t>
      </w:r>
    </w:p>
    <w:p>
      <w:pPr>
        <w:pStyle w:val="Normal"/>
        <w:spacing w:lineRule="auto" w:line="240" w:before="0" w:after="0"/>
        <w:jc w:val="both"/>
        <w:rPr>
          <w:rFonts w:ascii="Times New Roman" w:hAnsi="Times New Roman" w:cs="Times New Roman"/>
          <w:sz w:val="24"/>
          <w:szCs w:val="24"/>
          <w:lang w:val="it-IT"/>
        </w:rPr>
      </w:pPr>
      <w:r>
        <w:rPr>
          <w:rFonts w:cs="Times New Roman" w:ascii="Times New Roman" w:hAnsi="Times New Roman"/>
          <w:sz w:val="24"/>
          <w:szCs w:val="24"/>
          <w:lang w:val="it-IT"/>
        </w:rPr>
      </w:r>
    </w:p>
    <w:p>
      <w:pPr>
        <w:pStyle w:val="Normal"/>
        <w:spacing w:lineRule="auto" w:line="240" w:before="0" w:after="0"/>
        <w:jc w:val="both"/>
        <w:rPr>
          <w:rFonts w:ascii="Times New Roman" w:hAnsi="Times New Roman" w:cs="Times New Roman"/>
          <w:sz w:val="24"/>
          <w:szCs w:val="24"/>
          <w:lang w:val="it-IT"/>
        </w:rPr>
      </w:pPr>
      <w:r>
        <w:rPr>
          <w:rFonts w:cs="Times New Roman" w:ascii="Times New Roman" w:hAnsi="Times New Roman"/>
          <w:sz w:val="24"/>
          <w:szCs w:val="24"/>
          <w:lang w:val="it-IT"/>
        </w:rPr>
        <w:t>La piattaforma deve essere allestita in modo che le strutture e la fruizione dell’impianto garantiscano il rispetto di tutte le norme vigenti in materia di tutela della salute dell'uomo e dell'ambiente, nonché di sicurezza sul luogo di lavoro. Le operazioni ivi eseguite non devono creare rischi per l'acqua, l'aria, il suolo, la fauna e la flora, né avere impatti acustici o odorigeni, né danneggiare il paesaggio od i siti di particolare interesse storico/artistico/culturale.</w:t>
      </w:r>
    </w:p>
    <w:p>
      <w:pPr>
        <w:pStyle w:val="Normal"/>
        <w:spacing w:lineRule="auto" w:line="240" w:before="0" w:after="0"/>
        <w:jc w:val="both"/>
        <w:rPr>
          <w:rFonts w:ascii="Times New Roman" w:hAnsi="Times New Roman" w:cs="Times New Roman"/>
          <w:sz w:val="24"/>
          <w:szCs w:val="24"/>
          <w:lang w:val="it-IT"/>
        </w:rPr>
      </w:pPr>
      <w:r>
        <w:rPr>
          <w:rFonts w:cs="Times New Roman" w:ascii="Times New Roman" w:hAnsi="Times New Roman"/>
          <w:sz w:val="24"/>
          <w:szCs w:val="24"/>
          <w:lang w:val="it-IT"/>
        </w:rPr>
      </w:r>
    </w:p>
    <w:p>
      <w:pPr>
        <w:pStyle w:val="Normal"/>
        <w:spacing w:lineRule="auto" w:line="240" w:before="0" w:after="0"/>
        <w:jc w:val="both"/>
        <w:rPr>
          <w:rFonts w:ascii="Times New Roman" w:hAnsi="Times New Roman" w:cs="Times New Roman"/>
          <w:sz w:val="24"/>
          <w:szCs w:val="24"/>
          <w:lang w:val="it-IT"/>
        </w:rPr>
      </w:pPr>
      <w:r>
        <w:rPr>
          <w:rFonts w:cs="Times New Roman" w:ascii="Times New Roman" w:hAnsi="Times New Roman"/>
          <w:sz w:val="24"/>
          <w:szCs w:val="24"/>
          <w:lang w:val="it-IT"/>
        </w:rPr>
        <w:t>La piattaforma deve essere un luogo presidiato durante tutta la fase di apertura e dotato di:</w:t>
      </w:r>
    </w:p>
    <w:p>
      <w:pPr>
        <w:pStyle w:val="ListParagraph"/>
        <w:numPr>
          <w:ilvl w:val="0"/>
          <w:numId w:val="1"/>
        </w:numPr>
        <w:spacing w:lineRule="auto" w:line="240" w:before="0" w:after="0"/>
        <w:jc w:val="both"/>
        <w:rPr>
          <w:rFonts w:ascii="Times New Roman" w:hAnsi="Times New Roman" w:cs="Times New Roman"/>
          <w:sz w:val="24"/>
          <w:szCs w:val="24"/>
          <w:lang w:val="it-IT"/>
        </w:rPr>
      </w:pPr>
      <w:r>
        <w:rPr>
          <w:rFonts w:cs="Times New Roman" w:ascii="Times New Roman" w:hAnsi="Times New Roman"/>
          <w:sz w:val="24"/>
          <w:szCs w:val="24"/>
          <w:lang w:val="it-IT"/>
        </w:rPr>
        <w:t xml:space="preserve">recinzione perimetrale di altezza non inferiore a 2 m, mascherata da idonea barriera verde; </w:t>
      </w:r>
    </w:p>
    <w:p>
      <w:pPr>
        <w:pStyle w:val="ListParagraph"/>
        <w:numPr>
          <w:ilvl w:val="0"/>
          <w:numId w:val="1"/>
        </w:numPr>
        <w:spacing w:lineRule="auto" w:line="240" w:before="0" w:after="0"/>
        <w:jc w:val="both"/>
        <w:rPr>
          <w:rFonts w:ascii="Times New Roman" w:hAnsi="Times New Roman" w:cs="Times New Roman"/>
          <w:sz w:val="24"/>
          <w:szCs w:val="24"/>
          <w:lang w:val="it-IT"/>
        </w:rPr>
      </w:pPr>
      <w:r>
        <w:rPr>
          <w:rFonts w:cs="Times New Roman" w:ascii="Times New Roman" w:hAnsi="Times New Roman"/>
          <w:sz w:val="24"/>
          <w:szCs w:val="24"/>
          <w:lang w:val="it-IT"/>
        </w:rPr>
        <w:t>pavimentazione delle superfici destinate al transito dei mezzi, anche pesanti, realizzate in modo da garantirne l’impermeabilizzazione;</w:t>
      </w:r>
    </w:p>
    <w:p>
      <w:pPr>
        <w:pStyle w:val="ListParagraph"/>
        <w:numPr>
          <w:ilvl w:val="0"/>
          <w:numId w:val="1"/>
        </w:numPr>
        <w:spacing w:lineRule="auto" w:line="240" w:before="0" w:after="0"/>
        <w:jc w:val="both"/>
        <w:rPr>
          <w:rFonts w:ascii="Times New Roman" w:hAnsi="Times New Roman" w:cs="Times New Roman"/>
          <w:sz w:val="24"/>
          <w:szCs w:val="24"/>
          <w:lang w:val="it-IT"/>
        </w:rPr>
      </w:pPr>
      <w:r>
        <w:rPr>
          <w:rFonts w:cs="Times New Roman" w:ascii="Times New Roman" w:hAnsi="Times New Roman"/>
          <w:sz w:val="24"/>
          <w:szCs w:val="24"/>
          <w:lang w:val="it-IT"/>
        </w:rPr>
        <w:t>superfici destinate allo stoccaggio ed alla movimentazione dei rifiuti, realizzate con una pavimentazione che ne garantisca, oltre all’impermeabilizzazione, una resistenza fisica adeguata che ne impedisca il rapido deterioramento e quindi la mancata corretta funzionalità;</w:t>
      </w:r>
    </w:p>
    <w:p>
      <w:pPr>
        <w:pStyle w:val="ListParagraph"/>
        <w:numPr>
          <w:ilvl w:val="0"/>
          <w:numId w:val="1"/>
        </w:numPr>
        <w:spacing w:lineRule="auto" w:line="240" w:before="0" w:after="0"/>
        <w:jc w:val="both"/>
        <w:rPr>
          <w:rFonts w:ascii="Times New Roman" w:hAnsi="Times New Roman" w:cs="Times New Roman"/>
          <w:sz w:val="24"/>
          <w:szCs w:val="24"/>
          <w:lang w:val="it-IT"/>
        </w:rPr>
      </w:pPr>
      <w:r>
        <w:rPr>
          <w:rFonts w:cs="Times New Roman" w:ascii="Times New Roman" w:hAnsi="Times New Roman"/>
          <w:sz w:val="24"/>
          <w:szCs w:val="24"/>
          <w:lang w:val="it-IT"/>
        </w:rPr>
        <w:t>sistema di raccolta e smaltimento delle acque meteoriche e dei servizi igienici, nonché delle eventuali acque di percolazione e di lavaggio (si veda in merito il Regolamento Regionale n° 4 del 24.03.2006, il quale, all’art. 3, comma 2, lett. b, prevede che “formazione, convogliamento, separazione, raccolta, trattamento delle acque costituenti scarico delle acque di prima pioggia, siano soggetti alle disposizioni del presente regolamento qualora tali acque siano di pertinenza di edifici e/o installazioni in cui vengano svolte le attività di deposito rifiuti, centro di raccolta e/o trasformazione degli stessi, deposito rottami e deposito di veicoli destinati alla rottamazione”);</w:t>
      </w:r>
    </w:p>
    <w:p>
      <w:pPr>
        <w:pStyle w:val="ListParagraph"/>
        <w:numPr>
          <w:ilvl w:val="0"/>
          <w:numId w:val="1"/>
        </w:numPr>
        <w:spacing w:lineRule="auto" w:line="240" w:before="0" w:after="0"/>
        <w:jc w:val="both"/>
        <w:rPr>
          <w:rFonts w:ascii="Times New Roman" w:hAnsi="Times New Roman" w:cs="Times New Roman"/>
          <w:sz w:val="24"/>
          <w:szCs w:val="24"/>
          <w:lang w:val="it-IT"/>
        </w:rPr>
      </w:pPr>
      <w:r>
        <w:rPr>
          <w:rFonts w:cs="Times New Roman" w:ascii="Times New Roman" w:hAnsi="Times New Roman"/>
          <w:sz w:val="24"/>
          <w:szCs w:val="24"/>
          <w:lang w:val="it-IT"/>
        </w:rPr>
        <w:t xml:space="preserve">sistemi idonei di illuminazione, sicurezza, antincendio; </w:t>
      </w:r>
    </w:p>
    <w:p>
      <w:pPr>
        <w:pStyle w:val="ListParagraph"/>
        <w:numPr>
          <w:ilvl w:val="0"/>
          <w:numId w:val="1"/>
        </w:numPr>
        <w:jc w:val="both"/>
        <w:rPr>
          <w:rFonts w:ascii="Times New Roman" w:hAnsi="Times New Roman" w:cs="Times New Roman"/>
          <w:sz w:val="24"/>
          <w:szCs w:val="24"/>
          <w:lang w:val="it-IT"/>
        </w:rPr>
      </w:pPr>
      <w:r>
        <w:rPr>
          <w:rFonts w:cs="Times New Roman" w:ascii="Times New Roman" w:hAnsi="Times New Roman"/>
          <w:sz w:val="24"/>
          <w:szCs w:val="24"/>
          <w:lang w:val="it-IT"/>
        </w:rPr>
        <w:t>guardiania per il personale di presidio dell’impianto negli orari di apertura, munito di acqua potabile, servizi igienici, luce e riscaldamento;</w:t>
      </w:r>
    </w:p>
    <w:p>
      <w:pPr>
        <w:pStyle w:val="ListParagraph"/>
        <w:numPr>
          <w:ilvl w:val="0"/>
          <w:numId w:val="1"/>
        </w:numPr>
        <w:jc w:val="both"/>
        <w:rPr>
          <w:rFonts w:ascii="Times New Roman" w:hAnsi="Times New Roman" w:cs="Times New Roman"/>
          <w:sz w:val="24"/>
          <w:szCs w:val="24"/>
          <w:lang w:val="it-IT"/>
        </w:rPr>
      </w:pPr>
      <w:r>
        <w:rPr>
          <w:rFonts w:cs="Times New Roman" w:ascii="Times New Roman" w:hAnsi="Times New Roman"/>
          <w:sz w:val="24"/>
          <w:szCs w:val="24"/>
          <w:lang w:val="it-IT"/>
        </w:rPr>
        <w:t>zona di conferimento dei rifiuti urbani non pericolosi, attrezzata con cassoni scarrabili e/o contenitori e/o con platee impermeabilizzate e opportunamente delimitate; nel caso di conferimento dei rifiuti in cassoni scarrabili, è opportuno prevedere la presenza di rampe carrabili almeno per il conferimento di materiali ingombranti o pesanti;</w:t>
      </w:r>
    </w:p>
    <w:p>
      <w:pPr>
        <w:pStyle w:val="ListParagraph"/>
        <w:numPr>
          <w:ilvl w:val="0"/>
          <w:numId w:val="1"/>
        </w:numPr>
        <w:jc w:val="both"/>
        <w:rPr>
          <w:rFonts w:ascii="Times New Roman" w:hAnsi="Times New Roman" w:cs="Times New Roman"/>
          <w:sz w:val="24"/>
          <w:szCs w:val="24"/>
          <w:lang w:val="it-IT"/>
        </w:rPr>
      </w:pPr>
      <w:r>
        <w:rPr>
          <w:rFonts w:cs="Times New Roman" w:ascii="Times New Roman" w:hAnsi="Times New Roman"/>
          <w:sz w:val="24"/>
          <w:szCs w:val="24"/>
          <w:lang w:val="it-IT"/>
        </w:rPr>
        <w:t>zona dedicata al conferimento di rifiuti urbani pericolosi, rifiuti liquidi e RAEE, che dovrà essere protetta dagli agenti atmosferici mediante idonea copertura, attrezzata con contenitori specifici posti su superficie impermeabilizzata e dotata di opportuna pendenza, in modo da convogliare eventuali sversamenti accidentali ad un pozzetto di raccolta, non collegato al sistema fognario;</w:t>
      </w:r>
    </w:p>
    <w:p>
      <w:pPr>
        <w:pStyle w:val="ListParagraph"/>
        <w:numPr>
          <w:ilvl w:val="0"/>
          <w:numId w:val="1"/>
        </w:numPr>
        <w:jc w:val="both"/>
        <w:rPr>
          <w:rFonts w:ascii="Times New Roman" w:hAnsi="Times New Roman" w:cs="Times New Roman"/>
          <w:sz w:val="24"/>
          <w:szCs w:val="24"/>
          <w:lang w:val="it-IT"/>
        </w:rPr>
      </w:pPr>
      <w:r>
        <w:rPr>
          <w:rFonts w:cs="Times New Roman" w:ascii="Times New Roman" w:hAnsi="Times New Roman"/>
          <w:sz w:val="24"/>
          <w:szCs w:val="24"/>
          <w:lang w:val="it-IT"/>
        </w:rPr>
        <w:t xml:space="preserve">contenitori dotati di vasche di contenimento con capacità utile pari ad almeno 1/3 del volume totale dei contenitori per rifiuti liquidi e comunque non inferiore al volume del contenitore di maggiori dimensioni, oppure contenitori dotati di sistemi di sicurezza intrinseca (es a doppia camicia); </w:t>
      </w:r>
    </w:p>
    <w:p>
      <w:pPr>
        <w:pStyle w:val="ListParagraph"/>
        <w:numPr>
          <w:ilvl w:val="0"/>
          <w:numId w:val="1"/>
        </w:numPr>
        <w:jc w:val="both"/>
        <w:rPr>
          <w:rFonts w:ascii="Times New Roman" w:hAnsi="Times New Roman" w:cs="Times New Roman"/>
          <w:sz w:val="24"/>
          <w:szCs w:val="24"/>
          <w:lang w:val="it-IT"/>
        </w:rPr>
      </w:pPr>
      <w:r>
        <w:rPr>
          <w:rFonts w:cs="Times New Roman" w:ascii="Times New Roman" w:hAnsi="Times New Roman"/>
          <w:sz w:val="24"/>
          <w:szCs w:val="24"/>
          <w:lang w:val="it-IT"/>
        </w:rPr>
        <w:t>una cisterna di capacità massima pari a 500 l per lo stoccaggio degli oli minerali, dotata di sistemi di sicurezza intrinseca (doppia camicia), oppure di un proprio bacino di contenimento, di volume utile equivalente, o di una vasca a tenuta, in cui confluisca l’eventuale rifiuto decadente dalla cisterna in caso di rottura della stessa o di incidenti in fase di travaso;</w:t>
      </w:r>
    </w:p>
    <w:p>
      <w:pPr>
        <w:pStyle w:val="ListParagraph"/>
        <w:numPr>
          <w:ilvl w:val="0"/>
          <w:numId w:val="1"/>
        </w:numPr>
        <w:jc w:val="both"/>
        <w:rPr>
          <w:rFonts w:ascii="Times New Roman" w:hAnsi="Times New Roman" w:cs="Times New Roman"/>
          <w:sz w:val="24"/>
          <w:szCs w:val="24"/>
          <w:lang w:val="it-IT"/>
        </w:rPr>
      </w:pPr>
      <w:r>
        <w:rPr>
          <w:rFonts w:cs="Times New Roman" w:ascii="Times New Roman" w:hAnsi="Times New Roman"/>
          <w:sz w:val="24"/>
          <w:szCs w:val="24"/>
          <w:lang w:val="it-IT"/>
        </w:rPr>
        <w:t>apposita ed esplicita cartellonistica posizionata all’esterno dell’impianto, che evidenzi le caratteristiche del centro e gli orari di apertura;</w:t>
      </w:r>
    </w:p>
    <w:p>
      <w:pPr>
        <w:pStyle w:val="ListParagraph"/>
        <w:numPr>
          <w:ilvl w:val="0"/>
          <w:numId w:val="1"/>
        </w:numPr>
        <w:jc w:val="both"/>
        <w:rPr>
          <w:rFonts w:ascii="Times New Roman" w:hAnsi="Times New Roman" w:cs="Times New Roman"/>
          <w:sz w:val="24"/>
          <w:szCs w:val="24"/>
          <w:lang w:val="it-IT"/>
        </w:rPr>
      </w:pPr>
      <w:r>
        <w:rPr>
          <w:rFonts w:cs="Times New Roman" w:ascii="Times New Roman" w:hAnsi="Times New Roman"/>
          <w:sz w:val="24"/>
          <w:szCs w:val="24"/>
          <w:lang w:val="it-IT"/>
        </w:rPr>
        <w:t>cartelli che, all’interno del centro, per facilitare il conferimento corretto dei rifiuti da parte delle utenze, indichino, su ogni cassone, contenitore, baia, in modo inequivocabile, la tipologia di rifiuto che vi può essere conferita e gli eventuali simboli che indichino la pericolosità e la tipologia di pericolosità del rifiuto, con le relative indicazioni per la loro gestione in sicurezza;</w:t>
      </w:r>
    </w:p>
    <w:p>
      <w:pPr>
        <w:pStyle w:val="ListParagraph"/>
        <w:numPr>
          <w:ilvl w:val="0"/>
          <w:numId w:val="1"/>
        </w:numPr>
        <w:jc w:val="both"/>
        <w:rPr>
          <w:rFonts w:ascii="Times New Roman" w:hAnsi="Times New Roman" w:cs="Times New Roman"/>
          <w:sz w:val="24"/>
          <w:szCs w:val="24"/>
          <w:lang w:val="it-IT"/>
        </w:rPr>
      </w:pPr>
      <w:r>
        <w:rPr>
          <w:rFonts w:cs="Times New Roman" w:ascii="Times New Roman" w:hAnsi="Times New Roman"/>
          <w:sz w:val="24"/>
          <w:szCs w:val="24"/>
          <w:lang w:val="it-IT"/>
        </w:rPr>
        <w:t>un idoneo sistema di controllo dei pesi posizionato all’interno dell’impianto, ai fini della corretta compilazione dei formulari e della verifica dei quantitativi di rifiuti in entrata/uscita dallo stesso;</w:t>
      </w:r>
    </w:p>
    <w:p>
      <w:pPr>
        <w:pStyle w:val="ListParagraph"/>
        <w:numPr>
          <w:ilvl w:val="0"/>
          <w:numId w:val="1"/>
        </w:numPr>
        <w:jc w:val="both"/>
        <w:rPr>
          <w:rFonts w:ascii="Times New Roman" w:hAnsi="Times New Roman" w:cs="Times New Roman"/>
          <w:sz w:val="24"/>
          <w:szCs w:val="24"/>
          <w:lang w:val="it-IT"/>
        </w:rPr>
      </w:pPr>
      <w:r>
        <w:rPr>
          <w:rFonts w:cs="Times New Roman" w:ascii="Times New Roman" w:hAnsi="Times New Roman"/>
          <w:sz w:val="24"/>
          <w:szCs w:val="24"/>
          <w:lang w:val="it-IT"/>
        </w:rPr>
        <w:t>certificato prevenzione incendi rilasciato dai VV.FF. territorialmente competenti o dichiarazione sostitutiva dello stesso, così come previsto dalla normativa vigente, qualora l’impianto e/o l’attività rientrino tra quelli indicati dal d.m.i. 16/02/82 'determinazione delle attività soggette alle visite di prevenzione incendi' e successive modifiche ed integrazioni; in tali casi la messa in esercizio dell’impianto è subordinata all’acquisizione di tale documentazione;</w:t>
      </w:r>
    </w:p>
    <w:p>
      <w:pPr>
        <w:pStyle w:val="ListParagraph"/>
        <w:numPr>
          <w:ilvl w:val="0"/>
          <w:numId w:val="1"/>
        </w:numPr>
        <w:jc w:val="both"/>
        <w:rPr>
          <w:rFonts w:ascii="Times New Roman" w:hAnsi="Times New Roman" w:cs="Times New Roman"/>
          <w:sz w:val="24"/>
          <w:szCs w:val="24"/>
          <w:lang w:val="it-IT"/>
        </w:rPr>
      </w:pPr>
      <w:r>
        <w:rPr>
          <w:rFonts w:cs="Times New Roman" w:ascii="Times New Roman" w:hAnsi="Times New Roman"/>
          <w:sz w:val="24"/>
          <w:szCs w:val="24"/>
          <w:lang w:val="it-IT"/>
        </w:rPr>
        <w:t>eventuali altre autorizzazioni specifiche che risultano propedeutiche al rilascio dell’autorizzazione ai sensi dell’art. 208 del D.Lgs. 152/06 (ad esempio autorizzazione paesaggistica, verifica di assoggettabilità alla V.I.A. ecc..); anche in questo caso, l’esercizio dell’impianto è subordinato all’ottenimento di dette autorizzazioni;</w:t>
      </w:r>
    </w:p>
    <w:p>
      <w:pPr>
        <w:pStyle w:val="ListParagraph"/>
        <w:numPr>
          <w:ilvl w:val="0"/>
          <w:numId w:val="1"/>
        </w:numPr>
        <w:jc w:val="both"/>
        <w:rPr>
          <w:rFonts w:ascii="Times New Roman" w:hAnsi="Times New Roman" w:cs="Times New Roman"/>
          <w:sz w:val="24"/>
          <w:szCs w:val="24"/>
          <w:lang w:val="it-IT"/>
        </w:rPr>
      </w:pPr>
      <w:r>
        <w:rPr>
          <w:rFonts w:cs="Times New Roman" w:ascii="Times New Roman" w:hAnsi="Times New Roman"/>
          <w:sz w:val="24"/>
          <w:szCs w:val="24"/>
          <w:lang w:val="it-IT"/>
        </w:rPr>
        <w:t>piani operativi (la cui redazione è fortemente raccomandata), in merito alla gestione di:</w:t>
      </w:r>
    </w:p>
    <w:p>
      <w:pPr>
        <w:pStyle w:val="ListParagraph"/>
        <w:numPr>
          <w:ilvl w:val="2"/>
          <w:numId w:val="1"/>
        </w:numPr>
        <w:ind w:left="1134" w:hanging="142"/>
        <w:jc w:val="both"/>
        <w:rPr>
          <w:rFonts w:ascii="Times New Roman" w:hAnsi="Times New Roman" w:cs="Times New Roman"/>
          <w:sz w:val="24"/>
          <w:szCs w:val="24"/>
          <w:lang w:val="it-IT"/>
        </w:rPr>
      </w:pPr>
      <w:r>
        <w:rPr>
          <w:rFonts w:cs="Times New Roman" w:ascii="Times New Roman" w:hAnsi="Times New Roman"/>
          <w:sz w:val="24"/>
          <w:szCs w:val="24"/>
          <w:lang w:val="it-IT"/>
        </w:rPr>
        <w:t xml:space="preserve"> </w:t>
      </w:r>
      <w:r>
        <w:rPr>
          <w:rFonts w:cs="Times New Roman" w:ascii="Times New Roman" w:hAnsi="Times New Roman"/>
          <w:sz w:val="24"/>
          <w:szCs w:val="24"/>
          <w:lang w:val="it-IT"/>
        </w:rPr>
        <w:t>presenza di roditori e uccelli;</w:t>
      </w:r>
    </w:p>
    <w:p>
      <w:pPr>
        <w:pStyle w:val="ListParagraph"/>
        <w:numPr>
          <w:ilvl w:val="2"/>
          <w:numId w:val="1"/>
        </w:numPr>
        <w:ind w:left="1134" w:hanging="142"/>
        <w:jc w:val="both"/>
        <w:rPr>
          <w:rFonts w:ascii="Times New Roman" w:hAnsi="Times New Roman" w:cs="Times New Roman"/>
          <w:sz w:val="24"/>
          <w:szCs w:val="24"/>
          <w:lang w:val="it-IT"/>
        </w:rPr>
      </w:pPr>
      <w:r>
        <w:rPr>
          <w:rFonts w:cs="Times New Roman" w:ascii="Times New Roman" w:hAnsi="Times New Roman"/>
          <w:sz w:val="24"/>
          <w:szCs w:val="24"/>
          <w:lang w:val="it-IT"/>
        </w:rPr>
        <w:t xml:space="preserve"> </w:t>
      </w:r>
      <w:r>
        <w:rPr>
          <w:rFonts w:cs="Times New Roman" w:ascii="Times New Roman" w:hAnsi="Times New Roman"/>
          <w:sz w:val="24"/>
          <w:szCs w:val="24"/>
          <w:lang w:val="it-IT"/>
        </w:rPr>
        <w:t>rifiuti abbandonati all’esterno dell’impianto;</w:t>
      </w:r>
    </w:p>
    <w:p>
      <w:pPr>
        <w:pStyle w:val="ListParagraph"/>
        <w:numPr>
          <w:ilvl w:val="2"/>
          <w:numId w:val="1"/>
        </w:numPr>
        <w:ind w:left="1134" w:hanging="142"/>
        <w:jc w:val="both"/>
        <w:rPr>
          <w:rFonts w:ascii="Times New Roman" w:hAnsi="Times New Roman" w:cs="Times New Roman"/>
          <w:sz w:val="24"/>
          <w:szCs w:val="24"/>
          <w:lang w:val="it-IT"/>
        </w:rPr>
      </w:pPr>
      <w:r>
        <w:rPr>
          <w:rFonts w:cs="Times New Roman" w:ascii="Times New Roman" w:hAnsi="Times New Roman"/>
          <w:sz w:val="24"/>
          <w:szCs w:val="24"/>
          <w:lang w:val="it-IT"/>
        </w:rPr>
        <w:t xml:space="preserve"> </w:t>
      </w:r>
      <w:r>
        <w:rPr>
          <w:rFonts w:cs="Times New Roman" w:ascii="Times New Roman" w:hAnsi="Times New Roman"/>
          <w:sz w:val="24"/>
          <w:szCs w:val="24"/>
          <w:lang w:val="it-IT"/>
        </w:rPr>
        <w:t>emissioni atmosferiche dovute alla movimentazione di materiale secco e polveroso;</w:t>
      </w:r>
    </w:p>
    <w:p>
      <w:pPr>
        <w:pStyle w:val="ListParagraph"/>
        <w:numPr>
          <w:ilvl w:val="2"/>
          <w:numId w:val="1"/>
        </w:numPr>
        <w:ind w:left="1134" w:hanging="142"/>
        <w:jc w:val="both"/>
        <w:rPr>
          <w:rFonts w:ascii="Times New Roman" w:hAnsi="Times New Roman" w:cs="Times New Roman"/>
          <w:sz w:val="24"/>
          <w:szCs w:val="24"/>
          <w:lang w:val="it-IT"/>
        </w:rPr>
      </w:pPr>
      <w:r>
        <w:rPr>
          <w:rFonts w:cs="Times New Roman" w:ascii="Times New Roman" w:hAnsi="Times New Roman"/>
          <w:sz w:val="24"/>
          <w:szCs w:val="24"/>
          <w:lang w:val="it-IT"/>
        </w:rPr>
        <w:t>rumore prodotto da macchinari utilizzati per la movimentazione dei rifiuti;</w:t>
      </w:r>
    </w:p>
    <w:p>
      <w:pPr>
        <w:pStyle w:val="ListParagraph"/>
        <w:numPr>
          <w:ilvl w:val="2"/>
          <w:numId w:val="1"/>
        </w:numPr>
        <w:ind w:left="1134" w:hanging="142"/>
        <w:jc w:val="both"/>
        <w:rPr>
          <w:rFonts w:ascii="Times New Roman" w:hAnsi="Times New Roman" w:cs="Times New Roman"/>
          <w:sz w:val="24"/>
          <w:szCs w:val="24"/>
          <w:lang w:val="it-IT"/>
        </w:rPr>
      </w:pPr>
      <w:r>
        <w:rPr>
          <w:rFonts w:cs="Times New Roman" w:ascii="Times New Roman" w:hAnsi="Times New Roman"/>
          <w:sz w:val="24"/>
          <w:szCs w:val="24"/>
          <w:lang w:val="it-IT"/>
        </w:rPr>
        <w:t>cattivi odori;</w:t>
      </w:r>
    </w:p>
    <w:p>
      <w:pPr>
        <w:pStyle w:val="ListParagraph"/>
        <w:numPr>
          <w:ilvl w:val="2"/>
          <w:numId w:val="1"/>
        </w:numPr>
        <w:ind w:left="1134" w:hanging="142"/>
        <w:jc w:val="both"/>
        <w:rPr>
          <w:rFonts w:ascii="Times New Roman" w:hAnsi="Times New Roman" w:cs="Times New Roman"/>
          <w:sz w:val="24"/>
          <w:szCs w:val="24"/>
          <w:lang w:val="it-IT"/>
        </w:rPr>
      </w:pPr>
      <w:r>
        <w:rPr>
          <w:rFonts w:cs="Times New Roman" w:ascii="Times New Roman" w:hAnsi="Times New Roman"/>
          <w:sz w:val="24"/>
          <w:szCs w:val="24"/>
          <w:lang w:val="it-IT"/>
        </w:rPr>
        <w:t>traffico indotto da e per l’impianto.</w:t>
      </w:r>
    </w:p>
    <w:p>
      <w:pPr>
        <w:pStyle w:val="Normal"/>
        <w:ind w:left="992" w:hanging="0"/>
        <w:jc w:val="both"/>
        <w:rPr>
          <w:rFonts w:ascii="Times New Roman" w:hAnsi="Times New Roman" w:cs="Times New Roman"/>
          <w:sz w:val="24"/>
          <w:szCs w:val="24"/>
          <w:lang w:val="it-IT"/>
        </w:rPr>
      </w:pPr>
      <w:r>
        <w:rPr>
          <w:rFonts w:cs="Times New Roman" w:ascii="Times New Roman" w:hAnsi="Times New Roman"/>
          <w:sz w:val="24"/>
          <w:szCs w:val="24"/>
          <w:lang w:val="it-IT"/>
        </w:rPr>
        <w:t>Inoltre si ricorda che:</w:t>
      </w:r>
    </w:p>
    <w:p>
      <w:pPr>
        <w:pStyle w:val="ListParagraph"/>
        <w:numPr>
          <w:ilvl w:val="0"/>
          <w:numId w:val="1"/>
        </w:numPr>
        <w:jc w:val="both"/>
        <w:rPr>
          <w:rFonts w:ascii="Times New Roman" w:hAnsi="Times New Roman" w:cs="Times New Roman"/>
          <w:sz w:val="24"/>
          <w:szCs w:val="24"/>
          <w:lang w:val="it-IT"/>
        </w:rPr>
      </w:pPr>
      <w:r>
        <w:rPr>
          <w:rFonts w:cs="Times New Roman" w:ascii="Times New Roman" w:hAnsi="Times New Roman"/>
          <w:sz w:val="24"/>
          <w:szCs w:val="24"/>
          <w:lang w:val="it-IT"/>
        </w:rPr>
        <w:t>la piattaforma deve essere disinfestata periodicamente e devono essere rimossi giornalmente i rifiuti che si dovessero trovare all’esterno di cassoni ed aree adibite allo stoccaggio, o all’esterno dell’impianto;</w:t>
      </w:r>
    </w:p>
    <w:p>
      <w:pPr>
        <w:pStyle w:val="ListParagraph"/>
        <w:numPr>
          <w:ilvl w:val="0"/>
          <w:numId w:val="1"/>
        </w:numPr>
        <w:jc w:val="both"/>
        <w:rPr>
          <w:rFonts w:ascii="Times New Roman" w:hAnsi="Times New Roman" w:cs="Times New Roman"/>
          <w:sz w:val="24"/>
          <w:szCs w:val="24"/>
          <w:lang w:val="it-IT"/>
        </w:rPr>
      </w:pPr>
      <w:r>
        <w:rPr>
          <w:rFonts w:cs="Times New Roman" w:ascii="Times New Roman" w:hAnsi="Times New Roman"/>
          <w:sz w:val="24"/>
          <w:szCs w:val="24"/>
          <w:lang w:val="it-IT"/>
        </w:rPr>
        <w:t>il titolare dell’autorizzazione può gestire direttamente l’impianto tramite proprio personale oppure può avvalersi della prestazione d’opera di personale fornito da associazioni di volontariato, nel qual caso tutte le responsabilità sulla gestione dei rifiuti e dell’impianto rimangono in capo a lui, oppure può essere affidata ad azienda terza iscritta all’albo gestori rifiuti per la categoria corrispondente, delegando compiti e responsabilità: in quest’ultimo caso rimane in capo al titolare il solo compito di controllo della corretta gestione;</w:t>
      </w:r>
    </w:p>
    <w:p>
      <w:pPr>
        <w:pStyle w:val="ListParagraph"/>
        <w:numPr>
          <w:ilvl w:val="0"/>
          <w:numId w:val="1"/>
        </w:numPr>
        <w:jc w:val="both"/>
        <w:rPr>
          <w:rFonts w:ascii="Times New Roman" w:hAnsi="Times New Roman" w:cs="Times New Roman"/>
          <w:sz w:val="24"/>
          <w:szCs w:val="24"/>
          <w:lang w:val="it-IT"/>
        </w:rPr>
      </w:pPr>
      <w:r>
        <w:rPr>
          <w:rFonts w:cs="Times New Roman" w:ascii="Times New Roman" w:hAnsi="Times New Roman"/>
          <w:sz w:val="24"/>
          <w:szCs w:val="24"/>
          <w:lang w:val="it-IT"/>
        </w:rPr>
        <w:t xml:space="preserve">è prevista la figura del Direttore Tecnico dell’impianto il cui nominativo deve essere comunicato a Città metropolitana utilizzando i modelli appositamente predisposti allo scopo, presenti sulla piattaforma </w:t>
      </w:r>
      <w:r>
        <w:rPr>
          <w:rFonts w:cs="Times New Roman" w:ascii="Times New Roman" w:hAnsi="Times New Roman"/>
          <w:i/>
          <w:iCs/>
          <w:sz w:val="24"/>
          <w:szCs w:val="24"/>
          <w:lang w:val="it-IT"/>
        </w:rPr>
        <w:t>Inlinea</w:t>
      </w:r>
      <w:r>
        <w:rPr>
          <w:rFonts w:cs="Times New Roman" w:ascii="Times New Roman" w:hAnsi="Times New Roman"/>
          <w:sz w:val="24"/>
          <w:szCs w:val="24"/>
          <w:lang w:val="it-IT"/>
        </w:rPr>
        <w:t>; il Direttore Tecnico deve possedere i requisiti indicati nel punto 5.1.2 della d.c.i. del 27 luglio 1984 (laurea o diploma in discipline tecnico scientifiche); l'incarico può essere affidato solo previa accettazione firmata del tecnico designato;</w:t>
      </w:r>
    </w:p>
    <w:p>
      <w:pPr>
        <w:pStyle w:val="ListParagraph"/>
        <w:numPr>
          <w:ilvl w:val="0"/>
          <w:numId w:val="1"/>
        </w:numPr>
        <w:jc w:val="both"/>
        <w:rPr>
          <w:rFonts w:ascii="Times New Roman" w:hAnsi="Times New Roman" w:cs="Times New Roman"/>
          <w:sz w:val="24"/>
          <w:szCs w:val="24"/>
          <w:lang w:val="it-IT"/>
        </w:rPr>
      </w:pPr>
      <w:r>
        <w:rPr>
          <w:rFonts w:cs="Times New Roman" w:ascii="Times New Roman" w:hAnsi="Times New Roman"/>
          <w:sz w:val="24"/>
          <w:szCs w:val="24"/>
          <w:lang w:val="it-IT"/>
        </w:rPr>
        <w:t>nella piattaforma deve essere garantita, nel periodo di apertura, la presenza di personale qualificato ed adeguatamente formato nel gestire le diverse tipologie di rifiuti conferibili (es: riconoscimento tipologie rifiuti in ingresso e redazione di formulari e registri di carico e scarico), nonché sulla sicurezza e sulle procedure di emergenza in caso di incidenti;</w:t>
      </w:r>
    </w:p>
    <w:p>
      <w:pPr>
        <w:pStyle w:val="ListParagraph"/>
        <w:numPr>
          <w:ilvl w:val="0"/>
          <w:numId w:val="1"/>
        </w:numPr>
        <w:jc w:val="both"/>
        <w:rPr>
          <w:rFonts w:ascii="Times New Roman" w:hAnsi="Times New Roman" w:cs="Times New Roman"/>
          <w:sz w:val="24"/>
          <w:szCs w:val="24"/>
          <w:lang w:val="it-IT"/>
        </w:rPr>
      </w:pPr>
      <w:r>
        <w:rPr>
          <w:rFonts w:cs="Times New Roman" w:ascii="Times New Roman" w:hAnsi="Times New Roman"/>
          <w:sz w:val="24"/>
          <w:szCs w:val="24"/>
          <w:lang w:val="it-IT"/>
        </w:rPr>
        <w:t>i registri di carico e scarico dell’impianto (intestati al titolare dell’autorizzazione, in quanto produttore del rifiuto originato in impianto), dove vengono registrati i rifiuti in ingresso (limitatamente a quelli di origine aziendale che entrano accompagnati da un FIR) ed in uscita, devono essere detenuti presso l’impianto o la sede dell’impresa che lo gestisce, se prossima allo stesso, ed essere comunque visionabili dai funzionari degli Enti adibiti al controllo sugli impianti rifiuti al momento del sopralluogo; l’avvio agli impianti di destino deve avvenire con mezzi idonei e sempre accompagnati da un formulario di trasporto, che va registrato in scarico sul registro dell’impianto, così come previsto dall’art 190 del D.Lgs. 152/06.</w:t>
      </w:r>
    </w:p>
    <w:p>
      <w:pPr>
        <w:pStyle w:val="Normal"/>
        <w:spacing w:lineRule="auto" w:line="240" w:before="0" w:after="0"/>
        <w:ind w:left="360" w:hanging="0"/>
        <w:jc w:val="both"/>
        <w:rPr>
          <w:rFonts w:ascii="Times New Roman" w:hAnsi="Times New Roman" w:cs="Times New Roman"/>
          <w:sz w:val="24"/>
          <w:szCs w:val="24"/>
          <w:lang w:val="it-IT"/>
        </w:rPr>
      </w:pPr>
      <w:r>
        <w:rPr>
          <w:rFonts w:cs="Times New Roman" w:ascii="Times New Roman" w:hAnsi="Times New Roman"/>
          <w:sz w:val="24"/>
          <w:szCs w:val="24"/>
          <w:lang w:val="it-IT"/>
        </w:rPr>
        <w:t xml:space="preserve">Nel caso in cui, per esigenze di carattere igienico sanitario (ad esempio emergenze epidemiologiche, ingenti quantitativi di rifiuti abbandonati sulle strade, autorizzazione scaduta e non ancora rinnovata, con richiesta di rinnovo inviata meno di sei mesi prima della scadenza), la piattaforma lavori sulla base di un’Ordinanza Sindacale contingibile e urgente (che nei primi due esempi andrà ad integrare l’autorizzazione ordinaria, nel terzo la sostituirà), va ricordato che il periodo coperto da tale tipo di Ordinanza è limitato a soli sei mesi, reiterabili per non più di due volte, per un totale complessivo quindi, di 18 mesi. </w:t>
      </w:r>
    </w:p>
    <w:p>
      <w:pPr>
        <w:pStyle w:val="Normal"/>
        <w:spacing w:lineRule="auto" w:line="240" w:before="0" w:after="0"/>
        <w:ind w:left="360" w:hanging="0"/>
        <w:jc w:val="both"/>
        <w:rPr>
          <w:rFonts w:ascii="Times New Roman" w:hAnsi="Times New Roman" w:cs="Times New Roman"/>
          <w:sz w:val="24"/>
          <w:szCs w:val="24"/>
          <w:lang w:val="it-IT"/>
        </w:rPr>
      </w:pPr>
      <w:r>
        <w:rPr>
          <w:rFonts w:cs="Times New Roman" w:ascii="Times New Roman" w:hAnsi="Times New Roman"/>
          <w:sz w:val="24"/>
          <w:szCs w:val="24"/>
          <w:lang w:val="it-IT"/>
        </w:rPr>
        <w:t>Per la redazione di un’ordinanza sindacale di questo tipo, si rimanda all’art 191 del D.Lgs. 152/06.</w:t>
      </w:r>
    </w:p>
    <w:p>
      <w:pPr>
        <w:pStyle w:val="ListParagraph"/>
        <w:jc w:val="both"/>
        <w:rPr>
          <w:rFonts w:ascii="Times New Roman" w:hAnsi="Times New Roman" w:cs="Times New Roman"/>
          <w:sz w:val="24"/>
          <w:szCs w:val="24"/>
          <w:lang w:val="it-IT"/>
        </w:rPr>
      </w:pPr>
      <w:r>
        <w:rPr>
          <w:rFonts w:cs="Times New Roman" w:ascii="Times New Roman" w:hAnsi="Times New Roman"/>
          <w:sz w:val="24"/>
          <w:szCs w:val="24"/>
          <w:lang w:val="it-IT"/>
        </w:rPr>
      </w:r>
    </w:p>
    <w:p>
      <w:pPr>
        <w:pStyle w:val="Normal"/>
        <w:jc w:val="both"/>
        <w:rPr>
          <w:rFonts w:ascii="Times New Roman" w:hAnsi="Times New Roman" w:cs="Times New Roman"/>
          <w:sz w:val="24"/>
          <w:szCs w:val="24"/>
          <w:lang w:val="it-IT"/>
        </w:rPr>
      </w:pPr>
      <w:r>
        <w:rPr>
          <w:rFonts w:cs="Times New Roman" w:ascii="Times New Roman" w:hAnsi="Times New Roman"/>
          <w:b/>
          <w:bCs/>
          <w:sz w:val="24"/>
          <w:szCs w:val="24"/>
          <w:u w:val="single"/>
          <w:lang w:val="it-IT"/>
        </w:rPr>
        <w:t>Modalità di conferimento dei rifiuti presso le piattaforme</w:t>
      </w:r>
    </w:p>
    <w:p>
      <w:pPr>
        <w:pStyle w:val="Normal"/>
        <w:jc w:val="both"/>
        <w:rPr>
          <w:rFonts w:ascii="Times New Roman" w:hAnsi="Times New Roman" w:cs="Times New Roman"/>
          <w:sz w:val="24"/>
          <w:szCs w:val="24"/>
          <w:lang w:val="it-IT"/>
        </w:rPr>
      </w:pPr>
      <w:r>
        <w:rPr>
          <w:rFonts w:cs="Times New Roman" w:ascii="Times New Roman" w:hAnsi="Times New Roman"/>
          <w:sz w:val="24"/>
          <w:szCs w:val="24"/>
          <w:lang w:val="it-IT"/>
        </w:rPr>
        <w:t xml:space="preserve">Il conferimento dei rifiuti indicati in autorizzazione da parte degli utenti referenti al bacino servito dall’impianto, può avvenire: </w:t>
      </w:r>
    </w:p>
    <w:p>
      <w:pPr>
        <w:pStyle w:val="ListParagraph"/>
        <w:numPr>
          <w:ilvl w:val="0"/>
          <w:numId w:val="2"/>
        </w:numPr>
        <w:jc w:val="both"/>
        <w:rPr>
          <w:rFonts w:ascii="Times New Roman" w:hAnsi="Times New Roman" w:cs="Times New Roman"/>
          <w:sz w:val="24"/>
          <w:szCs w:val="24"/>
          <w:lang w:val="it-IT"/>
        </w:rPr>
      </w:pPr>
      <w:r>
        <w:rPr>
          <w:rFonts w:cs="Times New Roman" w:ascii="Times New Roman" w:hAnsi="Times New Roman"/>
          <w:sz w:val="24"/>
          <w:szCs w:val="24"/>
          <w:lang w:val="it-IT"/>
        </w:rPr>
        <w:t>per il cittadino, conferendo il rifiuto urbano (pericoloso o non pericoloso) nei quantitativi massimi previsti dal regolamento di gestione, dopo essere stato identificato in ingresso da personale del gestore (con C.I., C.R.S. o badge dedicato);</w:t>
      </w:r>
    </w:p>
    <w:p>
      <w:pPr>
        <w:pStyle w:val="ListParagraph"/>
        <w:numPr>
          <w:ilvl w:val="0"/>
          <w:numId w:val="2"/>
        </w:numPr>
        <w:jc w:val="both"/>
        <w:rPr/>
      </w:pPr>
      <w:r>
        <w:rPr>
          <w:rFonts w:cs="Times New Roman" w:ascii="Times New Roman" w:hAnsi="Times New Roman"/>
          <w:sz w:val="24"/>
          <w:szCs w:val="24"/>
          <w:lang w:val="it-IT"/>
        </w:rPr>
        <w:t xml:space="preserve">per le aziende locali, conferendo, </w:t>
      </w:r>
      <w:bookmarkStart w:id="0" w:name="_Hlk41047978"/>
      <w:r>
        <w:rPr>
          <w:rFonts w:cs="Times New Roman" w:ascii="Times New Roman" w:hAnsi="Times New Roman"/>
          <w:sz w:val="24"/>
          <w:szCs w:val="24"/>
          <w:lang w:val="it-IT"/>
        </w:rPr>
        <w:t xml:space="preserve">dopo essere state identificate in ingresso dal personale del gestore (generalmente tramite badge dedicato), le sole frazioni </w:t>
      </w:r>
      <w:bookmarkEnd w:id="0"/>
      <w:r>
        <w:rPr>
          <w:rFonts w:cs="Times New Roman" w:ascii="Times New Roman" w:hAnsi="Times New Roman"/>
          <w:sz w:val="24"/>
          <w:szCs w:val="24"/>
          <w:lang w:val="it-IT"/>
        </w:rPr>
        <w:t xml:space="preserve">non pericolose assimilate agli urbani con regolamento comunale oppure quelle speciali pericolose o non pericolose per le quali </w:t>
      </w:r>
      <w:r>
        <w:rPr>
          <w:rFonts w:cs="Times New Roman" w:ascii="Times New Roman" w:hAnsi="Times New Roman"/>
          <w:sz w:val="24"/>
          <w:szCs w:val="24"/>
          <w:lang w:val="it-IT"/>
        </w:rPr>
        <w:t>abbia</w:t>
      </w:r>
      <w:r>
        <w:rPr>
          <w:rFonts w:cs="Times New Roman" w:ascii="Times New Roman" w:hAnsi="Times New Roman"/>
          <w:sz w:val="24"/>
          <w:szCs w:val="24"/>
          <w:lang w:val="it-IT"/>
        </w:rPr>
        <w:t xml:space="preserve"> sottoscritto accordi con il gestore/titolare, nei modi e quantitativi previsti nell’autorizzazione della piattaforma e nei suddetti specifici accordi. Ai sensi dell’art. 212, comma 8, ultimo periodo, del D. Lgs. 152/06 e smi, l’azienda sarà esentata dall’obbligo dell’iscrizione all’Albo per il trasporto dei propri rifiuti, purché questo sia finalizzato al conferimento solo presso il gestore del servizio pubblico di raccolta dei rifiuti, ed avvenga in numero non superiore a 4 volte o per un volume non superiore ai 100 kg nell’arco temporaneo di un anno. Nel caso il conferimento non sia occasionale e superi i 30 kg a conferimento (come definito nell’art. 193 comma 5 del Dlgs 152/06) il trasporto del rifiuto verso la piattaforma avviene con formulario, su cui viene indicato il quantitativo del rifiuto conferito (registrato in carico su registro di carico e scarico dell’impianto), </w:t>
      </w:r>
      <w:r>
        <w:rPr>
          <w:rFonts w:cs="Times New Roman" w:ascii="Times New Roman" w:hAnsi="Times New Roman"/>
          <w:sz w:val="24"/>
          <w:szCs w:val="24"/>
          <w:lang w:val="it-IT"/>
        </w:rPr>
        <w:t xml:space="preserve">che va </w:t>
      </w:r>
      <w:r>
        <w:rPr>
          <w:rFonts w:cs="Times New Roman" w:ascii="Times New Roman" w:hAnsi="Times New Roman"/>
          <w:sz w:val="24"/>
          <w:szCs w:val="24"/>
          <w:lang w:val="it-IT"/>
        </w:rPr>
        <w:t xml:space="preserve">trattenuto in copia dal gestore (copia destinatario) e reso nelle altre copie, controfirmate, alla ditta conferitrice. Non deve essere utilizzato il modello A previsto dal DM 08.04.2008 e smi, né deve essere quindi realizzato il sistema di contabilizzazione da questo previsto poiché a questo scopo provvede appunto la compilazione del registro di carico e scarico. </w:t>
      </w:r>
    </w:p>
    <w:p>
      <w:pPr>
        <w:pStyle w:val="Normal"/>
        <w:jc w:val="both"/>
        <w:rPr>
          <w:rFonts w:ascii="Times New Roman" w:hAnsi="Times New Roman" w:cs="Times New Roman"/>
          <w:sz w:val="24"/>
          <w:szCs w:val="24"/>
          <w:lang w:val="it-IT"/>
        </w:rPr>
      </w:pPr>
      <w:r>
        <w:rPr>
          <w:rFonts w:cs="Times New Roman" w:ascii="Times New Roman" w:hAnsi="Times New Roman"/>
          <w:sz w:val="24"/>
          <w:szCs w:val="24"/>
          <w:lang w:val="it-IT"/>
        </w:rPr>
        <w:t>L’ubicazione dei rifiuti in piattaforma deve rispettare quanto previsto all’interno dell’autorizzazione. In generale, nelle piattaforme andranno individuate aree distinte per il deposito dei rifiuti, basate sulle differenti caratteristiche dei rifiuti stessi, tenendo quindi conto della loro composizione merceologica, della loro pericolosità, del loro destino finale e del loro stato fisico.</w:t>
      </w:r>
    </w:p>
    <w:p>
      <w:pPr>
        <w:pStyle w:val="Normal"/>
        <w:jc w:val="both"/>
        <w:rPr>
          <w:rFonts w:ascii="Times New Roman" w:hAnsi="Times New Roman" w:cs="Times New Roman"/>
          <w:sz w:val="24"/>
          <w:szCs w:val="24"/>
          <w:lang w:val="it-IT"/>
        </w:rPr>
      </w:pPr>
      <w:r>
        <w:rPr>
          <w:rFonts w:cs="Times New Roman" w:ascii="Times New Roman" w:hAnsi="Times New Roman"/>
          <w:sz w:val="24"/>
          <w:szCs w:val="24"/>
          <w:lang w:val="it-IT"/>
        </w:rPr>
        <w:t>Anche la modalità di raccolta dei rifiuti all’interno dell’impianto può variare in base alle caratteristiche dei singoli rifiuti. In particolare, se si tratta di frazioni:</w:t>
      </w:r>
    </w:p>
    <w:p>
      <w:pPr>
        <w:pStyle w:val="ListParagraph"/>
        <w:numPr>
          <w:ilvl w:val="0"/>
          <w:numId w:val="3"/>
        </w:numPr>
        <w:jc w:val="both"/>
        <w:rPr>
          <w:rFonts w:ascii="Times New Roman" w:hAnsi="Times New Roman" w:cs="Times New Roman"/>
          <w:sz w:val="24"/>
          <w:szCs w:val="24"/>
          <w:lang w:val="it-IT"/>
        </w:rPr>
      </w:pPr>
      <w:r>
        <w:rPr>
          <w:rFonts w:cs="Times New Roman" w:ascii="Times New Roman" w:hAnsi="Times New Roman"/>
          <w:sz w:val="24"/>
          <w:szCs w:val="24"/>
          <w:u w:val="single"/>
          <w:lang w:val="it-IT"/>
        </w:rPr>
        <w:t>non pericolose</w:t>
      </w:r>
      <w:r>
        <w:rPr>
          <w:rFonts w:cs="Times New Roman" w:ascii="Times New Roman" w:hAnsi="Times New Roman"/>
          <w:sz w:val="24"/>
          <w:szCs w:val="24"/>
          <w:lang w:val="it-IT"/>
        </w:rPr>
        <w:t>, si possono utilizzare cassoni scarrabili, contenitori o platee impermeabilizzate e opportunamente delimitate; nel caso dell’utilizzo di cassoni scarrabili, è opportuno prevedere la presenza di una rampa carrabile almeno per il conferimento di materiali ingombranti o pesanti;</w:t>
      </w:r>
    </w:p>
    <w:p>
      <w:pPr>
        <w:pStyle w:val="ListParagraph"/>
        <w:numPr>
          <w:ilvl w:val="0"/>
          <w:numId w:val="3"/>
        </w:numPr>
        <w:jc w:val="both"/>
        <w:rPr>
          <w:rFonts w:ascii="Times New Roman" w:hAnsi="Times New Roman" w:cs="Times New Roman"/>
          <w:sz w:val="24"/>
          <w:szCs w:val="24"/>
          <w:lang w:val="it-IT"/>
        </w:rPr>
      </w:pPr>
      <w:r>
        <w:rPr>
          <w:rFonts w:cs="Times New Roman" w:ascii="Times New Roman" w:hAnsi="Times New Roman"/>
          <w:sz w:val="24"/>
          <w:szCs w:val="24"/>
          <w:u w:val="single"/>
          <w:lang w:val="it-IT"/>
        </w:rPr>
        <w:t>pericolose</w:t>
      </w:r>
      <w:r>
        <w:rPr>
          <w:rFonts w:cs="Times New Roman" w:ascii="Times New Roman" w:hAnsi="Times New Roman"/>
          <w:sz w:val="24"/>
          <w:szCs w:val="24"/>
          <w:lang w:val="it-IT"/>
        </w:rPr>
        <w:t>, i contenitori vanno posizionati al di sotto di una tettoia oppure all’interno di un contenitore chiuso per proteggerli dalle intemperie; la superficie d’appoggio dei contenitori deve essere impermeabilizzata e dotata di opportuna pendenza, in modo da convogliare eventuali sversamenti accidentali ad un pozzetto di raccolta a tenuta stagna;</w:t>
      </w:r>
    </w:p>
    <w:p>
      <w:pPr>
        <w:pStyle w:val="ListParagraph"/>
        <w:numPr>
          <w:ilvl w:val="0"/>
          <w:numId w:val="3"/>
        </w:numPr>
        <w:jc w:val="both"/>
        <w:rPr>
          <w:rFonts w:ascii="Times New Roman" w:hAnsi="Times New Roman" w:cs="Times New Roman"/>
          <w:sz w:val="24"/>
          <w:szCs w:val="24"/>
          <w:lang w:val="it-IT"/>
        </w:rPr>
      </w:pPr>
      <w:r>
        <w:rPr>
          <w:rFonts w:cs="Times New Roman" w:ascii="Times New Roman" w:hAnsi="Times New Roman"/>
          <w:sz w:val="24"/>
          <w:szCs w:val="24"/>
          <w:u w:val="single"/>
          <w:lang w:val="it-IT"/>
        </w:rPr>
        <w:t>rinvenute sul territorio</w:t>
      </w:r>
      <w:r>
        <w:rPr>
          <w:rFonts w:cs="Times New Roman" w:ascii="Times New Roman" w:hAnsi="Times New Roman"/>
          <w:sz w:val="24"/>
          <w:szCs w:val="24"/>
          <w:lang w:val="it-IT"/>
        </w:rPr>
        <w:t>, vanno inserite all’interno dei cassoni presenti in piattaforma per la raccolta dello stesso tipo di frazione merceologica o, nel caso questa non fosse presente o si abbia il dubbio sulla possibile pericolosità delle stesse, in un contenitore appositamente dedicato al di sotto della tettoia o in contenitore chiuso all’esterno, in attesa delle analisi di omologa che consentiranno di deciderne il destino finale;</w:t>
      </w:r>
    </w:p>
    <w:p>
      <w:pPr>
        <w:pStyle w:val="ListParagraph"/>
        <w:numPr>
          <w:ilvl w:val="0"/>
          <w:numId w:val="3"/>
        </w:numPr>
        <w:spacing w:lineRule="auto" w:line="240" w:before="240" w:after="160"/>
        <w:jc w:val="both"/>
        <w:rPr>
          <w:rFonts w:ascii="Times New Roman" w:hAnsi="Times New Roman" w:cs="Times New Roman"/>
          <w:sz w:val="24"/>
          <w:szCs w:val="24"/>
          <w:lang w:val="it-IT"/>
        </w:rPr>
      </w:pPr>
      <w:r>
        <w:rPr>
          <w:rFonts w:cs="Times New Roman" w:ascii="Times New Roman" w:hAnsi="Times New Roman"/>
          <w:sz w:val="24"/>
          <w:szCs w:val="24"/>
          <w:u w:val="single"/>
          <w:lang w:val="it-IT"/>
        </w:rPr>
        <w:t>derivanti dalla raccolta porta a porta o dalle campane distribuite sul territorio del bacino d’utenza</w:t>
      </w:r>
      <w:r>
        <w:rPr>
          <w:rFonts w:cs="Times New Roman" w:ascii="Times New Roman" w:hAnsi="Times New Roman"/>
          <w:sz w:val="24"/>
          <w:szCs w:val="24"/>
          <w:lang w:val="it-IT"/>
        </w:rPr>
        <w:t>, vanno depositate in un’area specifica, dedicata unicamente al trasbordo, a cui possono accedere solo i mezzi del gestore del servizio di raccolta e dove i rifiuti possono permanere per un massimo di 48 ore.</w:t>
      </w:r>
    </w:p>
    <w:p>
      <w:pPr>
        <w:pStyle w:val="ListParagraph"/>
        <w:spacing w:lineRule="auto" w:line="240" w:before="240" w:after="160"/>
        <w:jc w:val="both"/>
        <w:rPr>
          <w:rFonts w:ascii="Times New Roman" w:hAnsi="Times New Roman" w:cs="Times New Roman"/>
          <w:sz w:val="20"/>
          <w:szCs w:val="20"/>
          <w:lang w:val="it-IT"/>
        </w:rPr>
      </w:pPr>
      <w:r>
        <w:rPr>
          <w:rFonts w:cs="Times New Roman" w:ascii="Times New Roman" w:hAnsi="Times New Roman"/>
          <w:sz w:val="20"/>
          <w:szCs w:val="20"/>
          <w:lang w:val="it-IT"/>
        </w:rPr>
      </w:r>
    </w:p>
    <w:p>
      <w:pPr>
        <w:pStyle w:val="ListParagraph"/>
        <w:spacing w:lineRule="auto" w:line="240" w:before="240" w:after="160"/>
        <w:ind w:left="360" w:hanging="0"/>
        <w:jc w:val="both"/>
        <w:rPr>
          <w:rFonts w:ascii="Times New Roman" w:hAnsi="Times New Roman" w:cs="Times New Roman"/>
          <w:sz w:val="24"/>
          <w:szCs w:val="24"/>
          <w:lang w:val="it-IT"/>
        </w:rPr>
      </w:pPr>
      <w:r>
        <w:rPr>
          <w:rFonts w:cs="Times New Roman" w:ascii="Times New Roman" w:hAnsi="Times New Roman"/>
          <w:sz w:val="24"/>
          <w:szCs w:val="24"/>
          <w:lang w:val="it-IT"/>
        </w:rPr>
        <w:t xml:space="preserve">Le eventuali operazioni diverse dalla R13 e D15 che si volessero effettuare all’interno delle piattaforme pubbliche, potranno essere effettuate solo sui rifiuti solidi non pericolosi e consisteranno essenzialmente in trasbordo, compattazione, triturazione, separazione delle diverse parti che costituiscono soprattutto i rifiuti ingombranti. Tali operazioni dovranno comunque sempre essere svolte con la finalità di migliorare ed incrementare il successivo recupero della frazione interessata e nel rispetto della sicurezza degli operatori e dell’ambiente, il che comporta la messa in opera di specifiche misure per garantire il contenimento di polveri ed odori. </w:t>
      </w:r>
    </w:p>
    <w:p>
      <w:pPr>
        <w:pStyle w:val="ListParagraph"/>
        <w:spacing w:lineRule="auto" w:line="240" w:before="240" w:after="160"/>
        <w:ind w:left="360" w:hanging="0"/>
        <w:jc w:val="both"/>
        <w:rPr>
          <w:rFonts w:ascii="Times New Roman" w:hAnsi="Times New Roman" w:cs="Times New Roman"/>
          <w:sz w:val="24"/>
          <w:szCs w:val="24"/>
          <w:lang w:val="it-IT"/>
        </w:rPr>
      </w:pPr>
      <w:r>
        <w:rPr>
          <w:rFonts w:cs="Times New Roman" w:ascii="Times New Roman" w:hAnsi="Times New Roman"/>
          <w:sz w:val="24"/>
          <w:szCs w:val="24"/>
          <w:lang w:val="it-IT"/>
        </w:rPr>
        <w:t>NON è però permesso effettuare operazioni di disassemblaggio di apparecchiature elettriche ed elettroniche (RAEE) o di rifiuti pericolosi.</w:t>
      </w:r>
    </w:p>
    <w:p>
      <w:pPr>
        <w:pStyle w:val="Normal"/>
        <w:jc w:val="both"/>
        <w:rPr>
          <w:rFonts w:ascii="Times New Roman" w:hAnsi="Times New Roman" w:cs="Times New Roman"/>
          <w:b/>
          <w:b/>
          <w:bCs/>
          <w:sz w:val="24"/>
          <w:szCs w:val="24"/>
          <w:u w:val="single"/>
          <w:lang w:val="it-IT"/>
        </w:rPr>
      </w:pPr>
      <w:r>
        <w:rPr>
          <w:rFonts w:cs="Times New Roman" w:ascii="Times New Roman" w:hAnsi="Times New Roman"/>
          <w:b/>
          <w:bCs/>
          <w:sz w:val="24"/>
          <w:szCs w:val="24"/>
          <w:u w:val="single"/>
          <w:lang w:val="it-IT"/>
        </w:rPr>
        <w:t>Le modalità di stoccaggio dei rifiuti devono comunque garantire che:</w:t>
      </w:r>
    </w:p>
    <w:p>
      <w:pPr>
        <w:pStyle w:val="ListParagraph"/>
        <w:numPr>
          <w:ilvl w:val="0"/>
          <w:numId w:val="4"/>
        </w:numPr>
        <w:jc w:val="both"/>
        <w:rPr>
          <w:rFonts w:ascii="Times New Roman" w:hAnsi="Times New Roman" w:cs="Times New Roman"/>
          <w:sz w:val="24"/>
          <w:szCs w:val="24"/>
          <w:lang w:val="it-IT"/>
        </w:rPr>
      </w:pPr>
      <w:r>
        <w:rPr>
          <w:rFonts w:cs="Times New Roman" w:ascii="Times New Roman" w:hAnsi="Times New Roman"/>
          <w:sz w:val="24"/>
          <w:szCs w:val="24"/>
          <w:lang w:val="it-IT"/>
        </w:rPr>
        <w:t>siano evitati danni ai contenitori che contengono liquidi e fluidi;</w:t>
      </w:r>
    </w:p>
    <w:p>
      <w:pPr>
        <w:pStyle w:val="ListParagraph"/>
        <w:numPr>
          <w:ilvl w:val="0"/>
          <w:numId w:val="4"/>
        </w:numPr>
        <w:jc w:val="both"/>
        <w:rPr>
          <w:rFonts w:ascii="Times New Roman" w:hAnsi="Times New Roman" w:cs="Times New Roman"/>
          <w:sz w:val="24"/>
          <w:szCs w:val="24"/>
          <w:lang w:val="it-IT"/>
        </w:rPr>
      </w:pPr>
      <w:r>
        <w:rPr>
          <w:rFonts w:cs="Times New Roman" w:ascii="Times New Roman" w:hAnsi="Times New Roman"/>
          <w:sz w:val="24"/>
          <w:szCs w:val="24"/>
          <w:lang w:val="it-IT"/>
        </w:rPr>
        <w:t>siano rispettate le norme che disciplinano il deposito di sostanze pericolose;</w:t>
      </w:r>
    </w:p>
    <w:p>
      <w:pPr>
        <w:pStyle w:val="ListParagraph"/>
        <w:numPr>
          <w:ilvl w:val="0"/>
          <w:numId w:val="4"/>
        </w:numPr>
        <w:jc w:val="both"/>
        <w:rPr>
          <w:rFonts w:ascii="Times New Roman" w:hAnsi="Times New Roman" w:cs="Times New Roman"/>
          <w:sz w:val="24"/>
          <w:szCs w:val="24"/>
          <w:lang w:val="it-IT"/>
        </w:rPr>
      </w:pPr>
      <w:r>
        <w:rPr>
          <w:rFonts w:cs="Times New Roman" w:ascii="Times New Roman" w:hAnsi="Times New Roman"/>
          <w:sz w:val="24"/>
          <w:szCs w:val="24"/>
          <w:lang w:val="it-IT"/>
        </w:rPr>
        <w:t>i contenitori o i serbatoi fissi o mobili possiedano adeguati requisiti di resistenza, in relazione alle proprietà chimico-fisiche ed alle caratteristiche di pericolosità dei rifiuti stessi, nonché dei sistemi di chiusura accessori e dispositivi atti ad effettuare in condizioni di sicurezza le operazioni di riempimento, di travaso e di svuotamento;</w:t>
      </w:r>
    </w:p>
    <w:p>
      <w:pPr>
        <w:pStyle w:val="ListParagraph"/>
        <w:numPr>
          <w:ilvl w:val="0"/>
          <w:numId w:val="4"/>
        </w:numPr>
        <w:jc w:val="both"/>
        <w:rPr>
          <w:rFonts w:ascii="Times New Roman" w:hAnsi="Times New Roman" w:cs="Times New Roman"/>
          <w:sz w:val="24"/>
          <w:szCs w:val="24"/>
          <w:lang w:val="it-IT"/>
        </w:rPr>
      </w:pPr>
      <w:r>
        <w:rPr>
          <w:rFonts w:cs="Times New Roman" w:ascii="Times New Roman" w:hAnsi="Times New Roman"/>
          <w:sz w:val="24"/>
          <w:szCs w:val="24"/>
          <w:lang w:val="it-IT"/>
        </w:rPr>
        <w:t>i rifiuti liquidi siano depositati in serbatoi o in contenitori mobili (ad esempio, fusti o cisternette) dotati di opportuni dispositivi anti traboccamento e contenimento e posizionati al coperto. I sistemi di carico e scarico dei liquidi dalle cisterne devono essere mantenuti in efficienza, al fine di evitare dispersioni nell'ambiente. Sui recipienti fissi e mobili deve essere apposta apposita etichettatura con l'indicazione del rifiuto contenuto, conformemente alle norme vigenti in materia di etichettatura di sostanze pericolose;</w:t>
      </w:r>
    </w:p>
    <w:p>
      <w:pPr>
        <w:pStyle w:val="ListParagraph"/>
        <w:numPr>
          <w:ilvl w:val="0"/>
          <w:numId w:val="4"/>
        </w:numPr>
        <w:jc w:val="both"/>
        <w:rPr>
          <w:rFonts w:ascii="Times New Roman" w:hAnsi="Times New Roman" w:cs="Times New Roman"/>
          <w:sz w:val="24"/>
          <w:szCs w:val="24"/>
          <w:lang w:val="it-IT"/>
        </w:rPr>
      </w:pPr>
      <w:r>
        <w:rPr>
          <w:rFonts w:cs="Times New Roman" w:ascii="Times New Roman" w:hAnsi="Times New Roman"/>
          <w:sz w:val="24"/>
          <w:szCs w:val="24"/>
          <w:lang w:val="it-IT"/>
        </w:rPr>
        <w:t>lo stoccaggio degli oli minerali avvenga in una cisterna di capacità massima pari a 500 l, dotata di un proprio bacino di contenimento dotato della medesima capacità;</w:t>
      </w:r>
    </w:p>
    <w:p>
      <w:pPr>
        <w:pStyle w:val="ListParagraph"/>
        <w:numPr>
          <w:ilvl w:val="0"/>
          <w:numId w:val="4"/>
        </w:numPr>
        <w:jc w:val="both"/>
        <w:rPr>
          <w:rFonts w:ascii="Times New Roman" w:hAnsi="Times New Roman" w:cs="Times New Roman"/>
          <w:sz w:val="24"/>
          <w:szCs w:val="24"/>
          <w:lang w:val="it-IT"/>
        </w:rPr>
      </w:pPr>
      <w:r>
        <w:rPr>
          <w:rFonts w:cs="Times New Roman" w:ascii="Times New Roman" w:hAnsi="Times New Roman"/>
          <w:sz w:val="24"/>
          <w:szCs w:val="24"/>
          <w:lang w:val="it-IT"/>
        </w:rPr>
        <w:t>il deposito degli accumulatori sia effettuato in appositi contenitori stagni dotati di sistemi di raccolta di eventuali liquidi che possano fuoriuscire dagli stessi;</w:t>
      </w:r>
    </w:p>
    <w:p>
      <w:pPr>
        <w:pStyle w:val="ListParagraph"/>
        <w:numPr>
          <w:ilvl w:val="0"/>
          <w:numId w:val="4"/>
        </w:numPr>
        <w:jc w:val="both"/>
        <w:rPr>
          <w:rFonts w:ascii="Times New Roman" w:hAnsi="Times New Roman" w:cs="Times New Roman"/>
          <w:sz w:val="24"/>
          <w:szCs w:val="24"/>
          <w:lang w:val="it-IT"/>
        </w:rPr>
      </w:pPr>
      <w:r>
        <w:rPr>
          <w:rFonts w:cs="Times New Roman" w:ascii="Times New Roman" w:hAnsi="Times New Roman"/>
          <w:sz w:val="24"/>
          <w:szCs w:val="24"/>
          <w:lang w:val="it-IT"/>
        </w:rPr>
        <w:t>i rifiuti pericolosi e i RAEE siano protetti dagli agenti atmosferici;</w:t>
      </w:r>
    </w:p>
    <w:p>
      <w:pPr>
        <w:pStyle w:val="ListParagraph"/>
        <w:numPr>
          <w:ilvl w:val="0"/>
          <w:numId w:val="4"/>
        </w:numPr>
        <w:jc w:val="both"/>
        <w:rPr>
          <w:rFonts w:ascii="Times New Roman" w:hAnsi="Times New Roman" w:cs="Times New Roman"/>
          <w:sz w:val="24"/>
          <w:szCs w:val="24"/>
          <w:lang w:val="it-IT"/>
        </w:rPr>
      </w:pPr>
      <w:r>
        <w:rPr>
          <w:rFonts w:cs="Times New Roman" w:ascii="Times New Roman" w:hAnsi="Times New Roman"/>
          <w:sz w:val="24"/>
          <w:szCs w:val="24"/>
          <w:lang w:val="it-IT"/>
        </w:rPr>
        <w:t>la frazione organica umida sia conferita in cassoni a tenuta stagna dotati di sistema di chiusura;</w:t>
      </w:r>
    </w:p>
    <w:p>
      <w:pPr>
        <w:pStyle w:val="ListParagraph"/>
        <w:numPr>
          <w:ilvl w:val="0"/>
          <w:numId w:val="4"/>
        </w:numPr>
        <w:jc w:val="both"/>
        <w:rPr>
          <w:rFonts w:ascii="Times New Roman" w:hAnsi="Times New Roman" w:cs="Times New Roman"/>
          <w:sz w:val="24"/>
          <w:szCs w:val="24"/>
          <w:lang w:val="it-IT"/>
        </w:rPr>
      </w:pPr>
      <w:r>
        <w:rPr>
          <w:rFonts w:cs="Times New Roman" w:ascii="Times New Roman" w:hAnsi="Times New Roman"/>
          <w:sz w:val="24"/>
          <w:szCs w:val="24"/>
          <w:lang w:val="it-IT"/>
        </w:rPr>
        <w:t>i rifiuti infiammabili siano depositati in conformità con quanto previsto dalla normativa vigente in materia, partendo dalla verifica dell’eventuale assoggettamento dell’impianto all’obbligo di ottenere un Certificato Prevenzione Incendi (C.P.I.) emesso dai Vigili del fuoco;</w:t>
      </w:r>
    </w:p>
    <w:p>
      <w:pPr>
        <w:pStyle w:val="ListParagraph"/>
        <w:numPr>
          <w:ilvl w:val="0"/>
          <w:numId w:val="4"/>
        </w:numPr>
        <w:jc w:val="both"/>
        <w:rPr>
          <w:rFonts w:ascii="Times New Roman" w:hAnsi="Times New Roman" w:cs="Times New Roman"/>
          <w:sz w:val="24"/>
          <w:szCs w:val="24"/>
          <w:lang w:val="it-IT"/>
        </w:rPr>
      </w:pPr>
      <w:r>
        <w:rPr>
          <w:rFonts w:cs="Times New Roman" w:ascii="Times New Roman" w:hAnsi="Times New Roman"/>
          <w:sz w:val="24"/>
          <w:szCs w:val="24"/>
          <w:lang w:val="it-IT"/>
        </w:rPr>
        <w:t xml:space="preserve"> </w:t>
      </w:r>
      <w:r>
        <w:rPr>
          <w:rFonts w:cs="Times New Roman" w:ascii="Times New Roman" w:hAnsi="Times New Roman"/>
          <w:sz w:val="24"/>
          <w:szCs w:val="24"/>
          <w:lang w:val="it-IT"/>
        </w:rPr>
        <w:t xml:space="preserve">i recipienti, fissi o mobili, utilizzati e non destinati ad essere reimpiegati per le stesse tipologie di rifiuti, siano sottoposti a trattamenti idonei a consentire le nuove utilizzazioni senza rischio di contaminazione fra le varie frazioni di rifiuti. </w:t>
      </w:r>
    </w:p>
    <w:p>
      <w:pPr>
        <w:pStyle w:val="Normal"/>
        <w:jc w:val="both"/>
        <w:rPr>
          <w:rFonts w:ascii="Times New Roman" w:hAnsi="Times New Roman" w:cs="Times New Roman"/>
          <w:b/>
          <w:b/>
          <w:bCs/>
          <w:sz w:val="24"/>
          <w:szCs w:val="24"/>
          <w:u w:val="single"/>
          <w:lang w:val="it-IT"/>
        </w:rPr>
      </w:pPr>
      <w:r>
        <w:rPr>
          <w:rFonts w:cs="Times New Roman" w:ascii="Times New Roman" w:hAnsi="Times New Roman"/>
          <w:b/>
          <w:bCs/>
          <w:sz w:val="24"/>
          <w:szCs w:val="24"/>
          <w:u w:val="single"/>
          <w:lang w:val="it-IT"/>
        </w:rPr>
        <w:t>Gestione dei RAEE (Rifiuti di Apparecchiature Elettriche ed Elettroniche)</w:t>
      </w:r>
    </w:p>
    <w:p>
      <w:pPr>
        <w:pStyle w:val="Normal"/>
        <w:jc w:val="both"/>
        <w:rPr>
          <w:rFonts w:ascii="Times New Roman" w:hAnsi="Times New Roman" w:cs="Times New Roman"/>
          <w:sz w:val="24"/>
          <w:szCs w:val="24"/>
          <w:lang w:val="it-IT"/>
        </w:rPr>
      </w:pPr>
      <w:r>
        <w:rPr>
          <w:rFonts w:cs="Times New Roman" w:ascii="Times New Roman" w:hAnsi="Times New Roman"/>
          <w:sz w:val="24"/>
          <w:szCs w:val="24"/>
          <w:lang w:val="it-IT"/>
        </w:rPr>
        <w:t>Gli utenti residenziali del bacino servito dall’impianto pubblico per la raccolta differenziata dei rifiuti possono conferire in piattaforma i rifiuti elettrici ed elettronici (RAEE) alla stregua di tutti gli altri rifiuti, sempre tenendo conto di quanto indicato all’interno dell’autorizzazione dell’impianto stesso. Le aziende invece, devono utilizzare le schede contenute negli allegati II e III del DM 65/2010, le quali dovranno essere trattenute, in copia, dal gestore dell’impianto, per la sua registrazione ai fini della determinazione della quantità di rifiuti transitati nell’impianto.</w:t>
      </w:r>
    </w:p>
    <w:p>
      <w:pPr>
        <w:pStyle w:val="Normal"/>
        <w:jc w:val="both"/>
        <w:rPr>
          <w:rFonts w:ascii="Times New Roman" w:hAnsi="Times New Roman" w:cs="Times New Roman"/>
          <w:sz w:val="24"/>
          <w:szCs w:val="24"/>
          <w:lang w:val="it-IT"/>
        </w:rPr>
      </w:pPr>
      <w:r>
        <w:rPr>
          <w:rFonts w:cs="Times New Roman" w:ascii="Times New Roman" w:hAnsi="Times New Roman"/>
          <w:sz w:val="24"/>
          <w:szCs w:val="24"/>
          <w:lang w:val="it-IT"/>
        </w:rPr>
        <w:t>Il loro stoccaggio deve rispettare quanto previsto dalla normativa di riferimento ed in particolare, oltre ad essere distinti per tipologie, devono essere protetti dagli agenti atmosferici, non danneggiati in fase di conferimento e movimentazione e non manomessi per il recupero delle singole componenti.</w:t>
      </w:r>
    </w:p>
    <w:p>
      <w:pPr>
        <w:pStyle w:val="Normal"/>
        <w:jc w:val="both"/>
        <w:rPr>
          <w:rFonts w:ascii="Times New Roman" w:hAnsi="Times New Roman" w:cs="Times New Roman"/>
          <w:sz w:val="24"/>
          <w:szCs w:val="24"/>
          <w:lang w:val="it-IT"/>
        </w:rPr>
      </w:pPr>
      <w:r>
        <w:rPr>
          <w:rFonts w:cs="Times New Roman" w:ascii="Times New Roman" w:hAnsi="Times New Roman"/>
          <w:sz w:val="24"/>
          <w:szCs w:val="24"/>
          <w:lang w:val="it-IT"/>
        </w:rPr>
        <w:t>Le piattaforme sono normalmente iscritte da Gestori e Comuni come centri di raccolta RAEE nei quali è previsto che questa tipologia di rifiuti venga suddivisa in cinque raggruppamenti, sulla base della loro tipologia e pericolosità:</w:t>
      </w:r>
    </w:p>
    <w:p>
      <w:pPr>
        <w:pStyle w:val="ListParagraph"/>
        <w:numPr>
          <w:ilvl w:val="0"/>
          <w:numId w:val="5"/>
        </w:numPr>
        <w:jc w:val="both"/>
        <w:rPr>
          <w:rFonts w:ascii="Times New Roman" w:hAnsi="Times New Roman" w:cs="Times New Roman"/>
          <w:sz w:val="24"/>
          <w:szCs w:val="24"/>
          <w:lang w:val="it-IT"/>
        </w:rPr>
      </w:pPr>
      <w:r>
        <w:rPr>
          <w:rFonts w:cs="Times New Roman" w:ascii="Times New Roman" w:hAnsi="Times New Roman"/>
          <w:sz w:val="24"/>
          <w:szCs w:val="24"/>
          <w:lang w:val="it-IT"/>
        </w:rPr>
        <w:t>R.1: x es. frigoriferi, congelatori, condizionatori, deumidificatori, CER 200123*;</w:t>
      </w:r>
    </w:p>
    <w:p>
      <w:pPr>
        <w:pStyle w:val="ListParagraph"/>
        <w:numPr>
          <w:ilvl w:val="0"/>
          <w:numId w:val="5"/>
        </w:numPr>
        <w:jc w:val="both"/>
        <w:rPr>
          <w:rFonts w:ascii="Times New Roman" w:hAnsi="Times New Roman" w:cs="Times New Roman"/>
          <w:sz w:val="24"/>
          <w:szCs w:val="24"/>
          <w:lang w:val="it-IT"/>
        </w:rPr>
      </w:pPr>
      <w:r>
        <w:rPr>
          <w:rFonts w:cs="Times New Roman" w:ascii="Times New Roman" w:hAnsi="Times New Roman"/>
          <w:sz w:val="24"/>
          <w:szCs w:val="24"/>
          <w:lang w:val="it-IT"/>
        </w:rPr>
        <w:t>R.2: grandi bianchi, x es. lavatrici, lavastoviglie, apparecchiature di cottura, stufe, CER 200136;</w:t>
      </w:r>
    </w:p>
    <w:p>
      <w:pPr>
        <w:pStyle w:val="ListParagraph"/>
        <w:numPr>
          <w:ilvl w:val="0"/>
          <w:numId w:val="5"/>
        </w:numPr>
        <w:jc w:val="both"/>
        <w:rPr>
          <w:rFonts w:ascii="Times New Roman" w:hAnsi="Times New Roman" w:cs="Times New Roman"/>
          <w:sz w:val="24"/>
          <w:szCs w:val="24"/>
          <w:lang w:val="it-IT"/>
        </w:rPr>
      </w:pPr>
      <w:r>
        <w:rPr>
          <w:rFonts w:cs="Times New Roman" w:ascii="Times New Roman" w:hAnsi="Times New Roman"/>
          <w:sz w:val="24"/>
          <w:szCs w:val="24"/>
          <w:lang w:val="it-IT"/>
        </w:rPr>
        <w:t>R.3: x es. televisori, monitor, computer portatili, CER 200135*;</w:t>
      </w:r>
    </w:p>
    <w:p>
      <w:pPr>
        <w:pStyle w:val="ListParagraph"/>
        <w:numPr>
          <w:ilvl w:val="0"/>
          <w:numId w:val="5"/>
        </w:numPr>
        <w:jc w:val="both"/>
        <w:rPr>
          <w:rFonts w:ascii="Times New Roman" w:hAnsi="Times New Roman" w:cs="Times New Roman"/>
          <w:sz w:val="24"/>
          <w:szCs w:val="24"/>
          <w:lang w:val="it-IT"/>
        </w:rPr>
      </w:pPr>
      <w:r>
        <w:rPr>
          <w:rFonts w:cs="Times New Roman" w:ascii="Times New Roman" w:hAnsi="Times New Roman"/>
          <w:sz w:val="24"/>
          <w:szCs w:val="24"/>
          <w:lang w:val="it-IT"/>
        </w:rPr>
        <w:t>R.4: componenti elettronici, x es. radio, lettori cd/cassette/dischi, videoregistratori, telecamere, macchine fotografiche, ventilatori, ferri da stiro, aspirapolveri, tostapane, bollitori, forni a microonde, bilance, sveglie, orologi, rasoi, affettatrici, calcolatrici, giochi ed attrezzature sportive elettronici, macchine da cucire, telefoni, stampanti, Pc senza video, navigatori satellitari, calcolatrici, friggitrici, frullatori, asciugacapelli, macchinette del caffè, CER 200136;</w:t>
      </w:r>
    </w:p>
    <w:p>
      <w:pPr>
        <w:pStyle w:val="ListParagraph"/>
        <w:numPr>
          <w:ilvl w:val="0"/>
          <w:numId w:val="5"/>
        </w:numPr>
        <w:jc w:val="both"/>
        <w:rPr>
          <w:rFonts w:ascii="Times New Roman" w:hAnsi="Times New Roman" w:cs="Times New Roman"/>
          <w:sz w:val="24"/>
          <w:szCs w:val="24"/>
          <w:lang w:val="it-IT"/>
        </w:rPr>
      </w:pPr>
      <w:r>
        <w:rPr>
          <w:rFonts w:cs="Times New Roman" w:ascii="Times New Roman" w:hAnsi="Times New Roman"/>
          <w:sz w:val="24"/>
          <w:szCs w:val="24"/>
          <w:lang w:val="it-IT"/>
        </w:rPr>
        <w:t>R.5.: x es. lampade a scarica e fluorescenti, CER 200135*.</w:t>
      </w:r>
    </w:p>
    <w:p>
      <w:pPr>
        <w:pStyle w:val="Normal"/>
        <w:jc w:val="both"/>
        <w:rPr>
          <w:rFonts w:ascii="Times New Roman" w:hAnsi="Times New Roman" w:cs="Times New Roman"/>
          <w:sz w:val="24"/>
          <w:szCs w:val="24"/>
          <w:lang w:val="it-IT"/>
        </w:rPr>
      </w:pPr>
      <w:r>
        <w:rPr>
          <w:rFonts w:cs="Times New Roman" w:ascii="Times New Roman" w:hAnsi="Times New Roman"/>
          <w:sz w:val="24"/>
          <w:szCs w:val="24"/>
          <w:lang w:val="it-IT"/>
        </w:rPr>
        <w:t>I RAEE così organizzati all’interno delle piattaforme, vengono poi ritirati direttamente da ditte del consorzio RAEE, per avviarli alle successive operazioni di recupero presso gli impianti dedicati.</w:t>
      </w:r>
    </w:p>
    <w:p>
      <w:pPr>
        <w:pStyle w:val="Normal"/>
        <w:jc w:val="both"/>
        <w:rPr>
          <w:rFonts w:ascii="Times New Roman" w:hAnsi="Times New Roman" w:cs="Times New Roman"/>
          <w:sz w:val="24"/>
          <w:szCs w:val="24"/>
          <w:lang w:val="it-IT"/>
        </w:rPr>
      </w:pPr>
      <w:r>
        <w:rPr>
          <w:rFonts w:cs="Times New Roman" w:ascii="Times New Roman" w:hAnsi="Times New Roman"/>
          <w:sz w:val="24"/>
          <w:szCs w:val="24"/>
          <w:lang w:val="it-IT"/>
        </w:rPr>
        <w:t>Si fa presente che il conferimento dei RAEE all’interno di un centro di raccolta, così come definito dall’art 1 del D.M. 08.04.2008 e s.m.i. 'Disciplina dei centri di raccolta dei rifiuti urbani raccolti in modo differenziato', rimane vincolato all’imprescindibile rispetto dei requisiti richiesti dal D.M. stesso per la realizzazione e la gestione di un centro di raccolta.</w:t>
      </w:r>
    </w:p>
    <w:p>
      <w:pPr>
        <w:pStyle w:val="Normal"/>
        <w:jc w:val="both"/>
        <w:rPr>
          <w:rFonts w:ascii="Times New Roman" w:hAnsi="Times New Roman" w:cs="Times New Roman"/>
          <w:sz w:val="24"/>
          <w:szCs w:val="24"/>
          <w:lang w:val="it-IT"/>
        </w:rPr>
      </w:pPr>
      <w:r>
        <w:rPr>
          <w:rFonts w:cs="Times New Roman" w:ascii="Times New Roman" w:hAnsi="Times New Roman"/>
          <w:sz w:val="24"/>
          <w:szCs w:val="24"/>
          <w:lang w:val="it-IT"/>
        </w:rPr>
      </w:r>
    </w:p>
    <w:p>
      <w:pPr>
        <w:pStyle w:val="Normal"/>
        <w:jc w:val="both"/>
        <w:rPr>
          <w:rFonts w:ascii="Times New Roman" w:hAnsi="Times New Roman" w:cs="Times New Roman"/>
          <w:sz w:val="24"/>
          <w:szCs w:val="24"/>
          <w:lang w:val="it-IT"/>
        </w:rPr>
      </w:pPr>
      <w:r>
        <w:rPr>
          <w:rFonts w:cs="Times New Roman" w:ascii="Times New Roman" w:hAnsi="Times New Roman"/>
          <w:b/>
          <w:bCs/>
          <w:sz w:val="24"/>
          <w:szCs w:val="24"/>
          <w:u w:val="single"/>
          <w:lang w:val="it-IT"/>
        </w:rPr>
        <w:t>Quali sono i rifiuti assimilati agli urbani?</w:t>
      </w:r>
    </w:p>
    <w:p>
      <w:pPr>
        <w:pStyle w:val="Normal"/>
        <w:jc w:val="both"/>
        <w:rPr>
          <w:rFonts w:ascii="Times New Roman" w:hAnsi="Times New Roman" w:cs="Times New Roman"/>
          <w:sz w:val="24"/>
          <w:szCs w:val="24"/>
          <w:lang w:val="it-IT"/>
        </w:rPr>
      </w:pPr>
      <w:r>
        <w:rPr>
          <w:rFonts w:cs="Times New Roman" w:ascii="Times New Roman" w:hAnsi="Times New Roman"/>
          <w:sz w:val="24"/>
          <w:szCs w:val="24"/>
          <w:u w:val="single"/>
          <w:lang w:val="it-IT"/>
        </w:rPr>
        <w:t>Sono quei rifiuti speciali non pericolosi, prodotti da aziende locali, che per qualità e quantità sono assimilati ai rifiuti urbani originati dall’utenza residenziale del territorio comunale. L’assimilazione avviene da parte del Comune con l’emanazione di un proprio regolamento</w:t>
      </w:r>
      <w:r>
        <w:rPr>
          <w:rFonts w:cs="Times New Roman" w:ascii="Times New Roman" w:hAnsi="Times New Roman"/>
          <w:sz w:val="24"/>
          <w:szCs w:val="24"/>
          <w:lang w:val="it-IT"/>
        </w:rPr>
        <w:t>, nel quale si indicano anche le modalità di raccolta o di conferimento presso il centro da parte delle aziende. Riferimenti normativi per tale tipologia di rifiuti possono essere trovati nel D.Lgs. 152/06 e smi, nella Legge di stabilità n.147 del 27.12.2013 e nella Legge n.68 del 2.05.2014 di conversione del D.L.16/2004, oltre che nel documento “Compendio normativo sui rifiuti urbani” presente sulla stessa pagina del sito di Città metropolitana su cui si trova il presente documento.</w:t>
      </w:r>
    </w:p>
    <w:p>
      <w:pPr>
        <w:pStyle w:val="Normal"/>
        <w:jc w:val="both"/>
        <w:rPr>
          <w:rFonts w:ascii="Times New Roman" w:hAnsi="Times New Roman" w:cs="Times New Roman"/>
          <w:sz w:val="24"/>
          <w:szCs w:val="24"/>
          <w:lang w:val="it-IT"/>
        </w:rPr>
      </w:pPr>
      <w:r>
        <w:rPr>
          <w:rFonts w:cs="Times New Roman" w:ascii="Times New Roman" w:hAnsi="Times New Roman"/>
          <w:sz w:val="24"/>
          <w:szCs w:val="24"/>
          <w:lang w:val="it-IT"/>
        </w:rPr>
      </w:r>
    </w:p>
    <w:p>
      <w:pPr>
        <w:pStyle w:val="Normal"/>
        <w:jc w:val="both"/>
        <w:rPr>
          <w:rFonts w:ascii="Times New Roman" w:hAnsi="Times New Roman" w:cs="Times New Roman"/>
          <w:sz w:val="24"/>
          <w:szCs w:val="24"/>
          <w:lang w:val="it-IT"/>
        </w:rPr>
      </w:pPr>
      <w:r>
        <w:rPr>
          <w:rFonts w:cs="Times New Roman" w:ascii="Times New Roman" w:hAnsi="Times New Roman"/>
          <w:b/>
          <w:bCs/>
          <w:sz w:val="24"/>
          <w:szCs w:val="24"/>
          <w:u w:val="single"/>
          <w:lang w:val="it-IT"/>
        </w:rPr>
        <w:t>Registrazione dei rifiuti movimentati</w:t>
      </w:r>
      <w:r>
        <w:rPr>
          <w:rFonts w:cs="Times New Roman" w:ascii="Times New Roman" w:hAnsi="Times New Roman"/>
          <w:sz w:val="24"/>
          <w:szCs w:val="24"/>
          <w:lang w:val="it-IT"/>
        </w:rPr>
        <w:t xml:space="preserve"> </w:t>
      </w:r>
    </w:p>
    <w:p>
      <w:pPr>
        <w:pStyle w:val="Normal"/>
        <w:jc w:val="both"/>
        <w:rPr>
          <w:rFonts w:ascii="Times New Roman" w:hAnsi="Times New Roman" w:cs="Times New Roman"/>
          <w:sz w:val="24"/>
          <w:szCs w:val="24"/>
          <w:lang w:val="it-IT"/>
        </w:rPr>
      </w:pPr>
      <w:r>
        <w:rPr>
          <w:rFonts w:cs="Times New Roman" w:ascii="Times New Roman" w:hAnsi="Times New Roman"/>
          <w:sz w:val="24"/>
          <w:szCs w:val="24"/>
          <w:lang w:val="it-IT"/>
        </w:rPr>
        <w:t xml:space="preserve">Oltre a quanto già esposto in merito, si ricorda che è necessario seguire scrupolosamente quanto di seguito indicato. </w:t>
      </w:r>
    </w:p>
    <w:p>
      <w:pPr>
        <w:pStyle w:val="ListParagraph"/>
        <w:numPr>
          <w:ilvl w:val="0"/>
          <w:numId w:val="6"/>
        </w:numPr>
        <w:jc w:val="both"/>
        <w:rPr>
          <w:rFonts w:ascii="Times New Roman" w:hAnsi="Times New Roman" w:cs="Times New Roman"/>
          <w:sz w:val="24"/>
          <w:szCs w:val="24"/>
          <w:lang w:val="it-IT"/>
        </w:rPr>
      </w:pPr>
      <w:r>
        <w:rPr>
          <w:rFonts w:cs="Times New Roman" w:ascii="Times New Roman" w:hAnsi="Times New Roman"/>
          <w:sz w:val="24"/>
          <w:szCs w:val="24"/>
          <w:lang w:val="it-IT"/>
        </w:rPr>
        <w:t>Nella gestione del flusso rifiuti, deve sempre essere verificato che sia le aziende coinvolte nel trasporto dei rifiuti, sia gli impianti di destino intermedio e/o definitivo degli stessi, abbiano i corretti requisiti per effettuare la gestione dei rifiuti che vengono loro consegnati, con le caratteristiche quali/quantitative indicate sui formulari. Il controllo del rispetto di questi requisiti deve essere sempre possibile, anche durante le visite ispettive effettuate dagli Enti di Controllo preposti e, pertanto, le autorizzazioni/iscrizioni all’albo di tali aziende devono sempre essere presenti nell’impianto e mantenute sempre aggiornate.</w:t>
      </w:r>
    </w:p>
    <w:p>
      <w:pPr>
        <w:pStyle w:val="ListParagraph"/>
        <w:numPr>
          <w:ilvl w:val="0"/>
          <w:numId w:val="6"/>
        </w:numPr>
        <w:jc w:val="both"/>
        <w:rPr>
          <w:rFonts w:ascii="Times New Roman" w:hAnsi="Times New Roman" w:cs="Times New Roman"/>
          <w:sz w:val="24"/>
          <w:szCs w:val="24"/>
          <w:lang w:val="it-IT"/>
        </w:rPr>
      </w:pPr>
      <w:r>
        <w:rPr>
          <w:rFonts w:cs="Times New Roman" w:ascii="Times New Roman" w:hAnsi="Times New Roman"/>
          <w:sz w:val="24"/>
          <w:szCs w:val="24"/>
          <w:lang w:val="it-IT"/>
        </w:rPr>
        <w:t>Nella compilazione dei registri di carico e scarico, porre attenzione al fatto che, per i carichi di rifiuti in ingresso, i codici CER e le operazioni da registrare sono esclusivamente quelle indicate nel provvedimento che regge l’attività dell’impianto (piattaforma) e non quelle indicate nell’autorizzazione del successivo impianto di recupero o smaltimento. Queste ultime informazioni, che comunque dovranno essere coerenti con l’operazione svolta in piattaforma per la tipologia di rifiuto, andranno invece indicate in corrispondenza delle operazioni di scarico.</w:t>
      </w:r>
    </w:p>
    <w:p>
      <w:pPr>
        <w:pStyle w:val="ListParagraph"/>
        <w:numPr>
          <w:ilvl w:val="0"/>
          <w:numId w:val="6"/>
        </w:numPr>
        <w:jc w:val="both"/>
        <w:rPr>
          <w:rFonts w:ascii="Times New Roman" w:hAnsi="Times New Roman" w:cs="Times New Roman"/>
          <w:sz w:val="24"/>
          <w:szCs w:val="24"/>
          <w:lang w:val="it-IT"/>
        </w:rPr>
      </w:pPr>
      <w:r>
        <w:rPr>
          <w:rFonts w:cs="Times New Roman" w:ascii="Times New Roman" w:hAnsi="Times New Roman"/>
          <w:sz w:val="24"/>
          <w:szCs w:val="24"/>
          <w:lang w:val="it-IT"/>
        </w:rPr>
        <w:t>I registri, intestati al soggetto titolare della gestione della piattaforma, che si configura quale produttore del rifiuto, devono essere tenuti congiuntamente con le prime e quarte copie dei formulari utilizzati per il trasporto dei rifiuti agli impianti di destino. L'impianto di destino, subito dopo aver accettato il rifiuto in arrivo, deve tempestivamente trasmettere la quarta copia dei formulari, opportunamente firmata, al gestore della piattaforma, al fine di consentirne la registrazione. Si ricorda che la gestione dei formulari è normata dagli art. 188 (incluso bis e ter), 190, 193 e 258 del D.Lgs. 152/06 i quali prevedono, tra l'altro, che il gestore che non riceva i formulari nei tempi previsti (3 mesi), sia obbligato a segnalare la mancata ricezione all’Ente di controllo (Città metropolitana di Milano) per il seguito di competenza.</w:t>
      </w:r>
    </w:p>
    <w:p>
      <w:pPr>
        <w:pStyle w:val="ListParagraph"/>
        <w:numPr>
          <w:ilvl w:val="0"/>
          <w:numId w:val="6"/>
        </w:numPr>
        <w:jc w:val="both"/>
        <w:rPr>
          <w:rFonts w:ascii="Times New Roman" w:hAnsi="Times New Roman" w:cs="Times New Roman"/>
          <w:sz w:val="24"/>
          <w:szCs w:val="24"/>
          <w:lang w:val="it-IT"/>
        </w:rPr>
      </w:pPr>
      <w:r>
        <w:rPr>
          <w:rFonts w:cs="Times New Roman" w:ascii="Times New Roman" w:hAnsi="Times New Roman"/>
          <w:sz w:val="24"/>
          <w:szCs w:val="24"/>
          <w:lang w:val="it-IT"/>
        </w:rPr>
        <w:t>I carichi manuali effettuati dai singoli cittadini non vanno registrati sui registri di carico e scarico mentre vanno sempre registrati i conferimenti effettuati dalle eventuali società che hanno firmato una convenzione con il Comune per poter conferire i loro rifiuti nella piattaforma comunale. Ognuno di questi conferimenti si configura come carico parziale. Al momento dello scarico del singolo cassone/contenitore, il volume dei rifiuti in uscita dalla piattaforma andrà correlato (sui registri di carico e scarico) con ognuno dei carichi parziali che hanno contribuito a formare il volume totale insieme ai conferimenti domestici dei cittadini.</w:t>
      </w:r>
    </w:p>
    <w:p>
      <w:pPr>
        <w:pStyle w:val="ListParagraph"/>
        <w:numPr>
          <w:ilvl w:val="0"/>
          <w:numId w:val="6"/>
        </w:numPr>
        <w:jc w:val="both"/>
        <w:rPr>
          <w:rFonts w:ascii="Times New Roman" w:hAnsi="Times New Roman" w:cs="Times New Roman"/>
          <w:sz w:val="24"/>
          <w:szCs w:val="24"/>
          <w:lang w:val="it-IT"/>
        </w:rPr>
      </w:pPr>
      <w:r>
        <w:rPr>
          <w:rFonts w:cs="Times New Roman" w:ascii="Times New Roman" w:hAnsi="Times New Roman"/>
          <w:sz w:val="24"/>
          <w:szCs w:val="24"/>
          <w:lang w:val="it-IT"/>
        </w:rPr>
        <w:t xml:space="preserve">I formulari, alla base del flusso per la gestione dei rifiuti, vanno sempre compilati in modo chiaro, corretto e completo in modo che tutti i dati aggiornati presenti sugli stessi possano successivamente essere correttamente riportati sul registro di carico e scarico dell'impianto. </w:t>
      </w:r>
    </w:p>
    <w:p>
      <w:pPr>
        <w:pStyle w:val="Normal"/>
        <w:jc w:val="both"/>
        <w:rPr>
          <w:rFonts w:ascii="Times New Roman" w:hAnsi="Times New Roman" w:cs="Times New Roman"/>
          <w:sz w:val="24"/>
          <w:szCs w:val="24"/>
          <w:lang w:val="it-IT"/>
        </w:rPr>
      </w:pPr>
      <w:r>
        <w:rPr>
          <w:rFonts w:cs="Times New Roman" w:ascii="Times New Roman" w:hAnsi="Times New Roman"/>
          <w:sz w:val="24"/>
          <w:szCs w:val="24"/>
          <w:lang w:val="it-IT"/>
        </w:rPr>
      </w:r>
    </w:p>
    <w:p>
      <w:pPr>
        <w:pStyle w:val="Normal"/>
        <w:jc w:val="both"/>
        <w:rPr>
          <w:rFonts w:ascii="Times New Roman" w:hAnsi="Times New Roman" w:cs="Times New Roman"/>
          <w:b/>
          <w:b/>
          <w:bCs/>
          <w:sz w:val="24"/>
          <w:szCs w:val="24"/>
          <w:u w:val="single"/>
          <w:lang w:val="it-IT"/>
        </w:rPr>
      </w:pPr>
      <w:r>
        <w:rPr>
          <w:rFonts w:cs="Times New Roman" w:ascii="Times New Roman" w:hAnsi="Times New Roman"/>
          <w:b/>
          <w:bCs/>
          <w:sz w:val="24"/>
          <w:szCs w:val="24"/>
          <w:u w:val="single"/>
          <w:lang w:val="it-IT"/>
        </w:rPr>
        <w:t>Conferimento di rifiuti in piattaforma senza formulario</w:t>
      </w:r>
    </w:p>
    <w:p>
      <w:pPr>
        <w:pStyle w:val="Normal"/>
        <w:jc w:val="both"/>
        <w:rPr>
          <w:rFonts w:ascii="Times New Roman" w:hAnsi="Times New Roman" w:cs="Times New Roman"/>
          <w:sz w:val="24"/>
          <w:szCs w:val="24"/>
          <w:lang w:val="it-IT"/>
        </w:rPr>
      </w:pPr>
      <w:r>
        <w:rPr>
          <w:rFonts w:cs="Times New Roman" w:ascii="Times New Roman" w:hAnsi="Times New Roman"/>
          <w:sz w:val="24"/>
          <w:szCs w:val="24"/>
          <w:lang w:val="it-IT"/>
        </w:rPr>
        <w:t>Si riporta quanto prevede il Dlgs 152/2006 e s.m.i., all’art 193 comma 5: “</w:t>
      </w:r>
      <w:r>
        <w:rPr>
          <w:rFonts w:cs="Times New Roman" w:ascii="Times New Roman" w:hAnsi="Times New Roman"/>
          <w:i/>
          <w:iCs/>
          <w:sz w:val="24"/>
          <w:szCs w:val="24"/>
          <w:lang w:val="it-IT"/>
        </w:rPr>
        <w:t xml:space="preserve">le disposizioni di cui al comma 1 </w:t>
      </w:r>
      <w:r>
        <w:rPr>
          <w:rFonts w:cs="Times New Roman" w:ascii="Times New Roman" w:hAnsi="Times New Roman"/>
          <w:sz w:val="24"/>
          <w:szCs w:val="24"/>
          <w:lang w:val="it-IT"/>
        </w:rPr>
        <w:t>(obbligo di compilazione dei formulari)</w:t>
      </w:r>
      <w:r>
        <w:rPr>
          <w:rFonts w:cs="Times New Roman" w:ascii="Times New Roman" w:hAnsi="Times New Roman"/>
          <w:i/>
          <w:iCs/>
          <w:sz w:val="24"/>
          <w:szCs w:val="24"/>
          <w:lang w:val="it-IT"/>
        </w:rPr>
        <w:t xml:space="preserve"> non si applicano al trasporto di rifiuti urbani effettuato dal soggetto che gestisce il servizio pubblico, né ai trasporti di rifiuti non pericolosi effettuati dal produttore dei rifiuti stessi, in modo occasionale e saltuario, che non eccedano la quantità di trenta chilogrammi o di trenta litri, né al trasporto di rifiuti urbani effettuato dal produttore degli stessi ai centri di raccolta di cui all’articolo 183, comma 1, lett. mm)</w:t>
      </w:r>
      <w:r>
        <w:rPr>
          <w:rFonts w:cs="Times New Roman" w:ascii="Times New Roman" w:hAnsi="Times New Roman"/>
          <w:sz w:val="24"/>
          <w:szCs w:val="24"/>
          <w:lang w:val="it-IT"/>
        </w:rPr>
        <w:t xml:space="preserve">. </w:t>
      </w:r>
      <w:r>
        <w:rPr>
          <w:rFonts w:cs="Times New Roman" w:ascii="Times New Roman" w:hAnsi="Times New Roman"/>
          <w:i/>
          <w:iCs/>
          <w:sz w:val="24"/>
          <w:szCs w:val="24"/>
          <w:lang w:val="it-IT"/>
        </w:rPr>
        <w:t>Sono considerati occasionali e saltuari i trasporti di rifiuti, effettuati complessivamente per non più di quattro volte l’anno non eccedenti i trenta chilogrammi o trenta litri al giorno e, comunque, i cento chilogrammi o cento litri l’anno</w:t>
      </w:r>
      <w:r>
        <w:rPr>
          <w:rFonts w:cs="Times New Roman" w:ascii="Times New Roman" w:hAnsi="Times New Roman"/>
          <w:sz w:val="24"/>
          <w:szCs w:val="24"/>
          <w:lang w:val="it-IT"/>
        </w:rPr>
        <w:t xml:space="preserve">”. </w:t>
      </w:r>
    </w:p>
    <w:p>
      <w:pPr>
        <w:pStyle w:val="Normal"/>
        <w:jc w:val="both"/>
        <w:rPr>
          <w:rFonts w:ascii="Times New Roman" w:hAnsi="Times New Roman" w:cs="Times New Roman"/>
          <w:sz w:val="24"/>
          <w:szCs w:val="24"/>
          <w:lang w:val="it-IT"/>
        </w:rPr>
      </w:pPr>
      <w:r>
        <w:rPr>
          <w:rFonts w:cs="Times New Roman" w:ascii="Times New Roman" w:hAnsi="Times New Roman"/>
          <w:sz w:val="24"/>
          <w:szCs w:val="24"/>
          <w:lang w:val="it-IT"/>
        </w:rPr>
      </w:r>
    </w:p>
    <w:p>
      <w:pPr>
        <w:pStyle w:val="Normal"/>
        <w:jc w:val="both"/>
        <w:rPr>
          <w:rFonts w:ascii="Times New Roman" w:hAnsi="Times New Roman" w:cs="Times New Roman"/>
          <w:sz w:val="24"/>
          <w:szCs w:val="24"/>
          <w:u w:val="single"/>
          <w:lang w:val="it-IT"/>
        </w:rPr>
      </w:pPr>
      <w:r>
        <w:rPr>
          <w:rFonts w:cs="Times New Roman" w:ascii="Times New Roman" w:hAnsi="Times New Roman"/>
          <w:b/>
          <w:bCs/>
          <w:sz w:val="24"/>
          <w:szCs w:val="24"/>
          <w:u w:val="single"/>
          <w:lang w:val="it-IT"/>
        </w:rPr>
        <w:t>Fidejussioni</w:t>
      </w:r>
    </w:p>
    <w:p>
      <w:pPr>
        <w:pStyle w:val="Normal"/>
        <w:jc w:val="both"/>
        <w:rPr>
          <w:rFonts w:ascii="Times New Roman" w:hAnsi="Times New Roman" w:cs="Times New Roman"/>
          <w:sz w:val="24"/>
          <w:szCs w:val="24"/>
          <w:lang w:val="it-IT"/>
        </w:rPr>
      </w:pPr>
      <w:r>
        <w:rPr>
          <w:rFonts w:cs="Times New Roman" w:ascii="Times New Roman" w:hAnsi="Times New Roman"/>
          <w:sz w:val="24"/>
          <w:szCs w:val="24"/>
          <w:lang w:val="it-IT"/>
        </w:rPr>
        <w:t xml:space="preserve">Al rilascio delle autorizzazioni sarà applicato quanto previsto dall’art 208 D.Lgs. 152/2006, concernente l’obbligo di sottoscrizione di una </w:t>
      </w:r>
      <w:r>
        <w:rPr>
          <w:rFonts w:cs="Times New Roman" w:ascii="Times New Roman" w:hAnsi="Times New Roman"/>
          <w:b/>
          <w:bCs/>
          <w:sz w:val="24"/>
          <w:szCs w:val="24"/>
          <w:lang w:val="it-IT"/>
        </w:rPr>
        <w:t>polizza di fideiussione</w:t>
      </w:r>
      <w:r>
        <w:rPr>
          <w:rFonts w:cs="Times New Roman" w:ascii="Times New Roman" w:hAnsi="Times New Roman"/>
          <w:sz w:val="24"/>
          <w:szCs w:val="24"/>
          <w:lang w:val="it-IT"/>
        </w:rPr>
        <w:t xml:space="preserve"> bancaria o assicurativa, a favore della Città metropolitana di Milano (beneficiario), emessa da azienda di credito di cui all'art. 5 del R.D. 12.03.1936, n. 375 o da società di assicurazione, autorizzata con Legge 10.07.1982, n. 348 e successive integrazioni, nella forma che riproduca lo </w:t>
      </w:r>
      <w:r>
        <w:rPr>
          <w:rFonts w:cs="Times New Roman" w:ascii="Times New Roman" w:hAnsi="Times New Roman"/>
          <w:b/>
          <w:bCs/>
          <w:sz w:val="24"/>
          <w:szCs w:val="24"/>
          <w:lang w:val="it-IT"/>
        </w:rPr>
        <w:t>schema</w:t>
      </w:r>
      <w:r>
        <w:rPr>
          <w:rFonts w:cs="Times New Roman" w:ascii="Times New Roman" w:hAnsi="Times New Roman"/>
          <w:sz w:val="24"/>
          <w:szCs w:val="24"/>
          <w:lang w:val="it-IT"/>
        </w:rPr>
        <w:t xml:space="preserve"> di condizioni contrattuali approvato con </w:t>
      </w:r>
      <w:bookmarkStart w:id="1" w:name="_Hlk43087031"/>
      <w:r>
        <w:rPr>
          <w:rFonts w:cs="Times New Roman" w:ascii="Times New Roman" w:hAnsi="Times New Roman"/>
          <w:sz w:val="24"/>
          <w:szCs w:val="24"/>
          <w:lang w:val="it-IT"/>
        </w:rPr>
        <w:t>D.G.R. n° VII/19461 del 19.11.2004</w:t>
      </w:r>
      <w:bookmarkEnd w:id="1"/>
      <w:r>
        <w:rPr>
          <w:rFonts w:cs="Times New Roman" w:ascii="Times New Roman" w:hAnsi="Times New Roman"/>
          <w:sz w:val="24"/>
          <w:szCs w:val="24"/>
          <w:lang w:val="it-IT"/>
        </w:rPr>
        <w:t xml:space="preserve">, </w:t>
      </w:r>
      <w:r>
        <w:rPr>
          <w:rFonts w:cs="Times New Roman" w:ascii="Times New Roman" w:hAnsi="Times New Roman"/>
          <w:sz w:val="24"/>
          <w:szCs w:val="24"/>
          <w:u w:val="single"/>
          <w:lang w:val="it-IT"/>
        </w:rPr>
        <w:t>reperibile sulla medesima pagina del sito web della Città metropolitana su cui si trova il presente documento</w:t>
      </w:r>
      <w:r>
        <w:rPr>
          <w:rFonts w:cs="Times New Roman" w:ascii="Times New Roman" w:hAnsi="Times New Roman"/>
          <w:sz w:val="24"/>
          <w:szCs w:val="24"/>
          <w:lang w:val="it-IT"/>
        </w:rPr>
        <w:t xml:space="preserve">. Si ricorda che la fidejussione può essere sostituita, od eventualmente integrata, da un deposito cauzionale da versarsi su apposito conto dedicato (IBAN IT50V0306301775000099700235) con bonifico bancario, nel caso il versamento venga effettuato da una società, e sul </w:t>
      </w:r>
      <w:r>
        <w:rPr>
          <w:rFonts w:cs="Times New Roman" w:ascii="Times New Roman" w:hAnsi="Times New Roman"/>
          <w:b/>
          <w:bCs/>
          <w:sz w:val="24"/>
          <w:szCs w:val="24"/>
          <w:lang w:val="it-IT"/>
        </w:rPr>
        <w:t>Conto di tesoreria unica presso la Banca d’Italia</w:t>
      </w:r>
      <w:r>
        <w:rPr>
          <w:rFonts w:cs="Times New Roman" w:ascii="Times New Roman" w:hAnsi="Times New Roman"/>
          <w:sz w:val="24"/>
          <w:szCs w:val="24"/>
          <w:lang w:val="it-IT"/>
        </w:rPr>
        <w:t xml:space="preserve"> (n° 0060133) tramite girofondo, qualora il versamento venga effettuato da un Ente pubblico (Comune). </w:t>
      </w:r>
    </w:p>
    <w:p>
      <w:pPr>
        <w:pStyle w:val="Normal"/>
        <w:jc w:val="both"/>
        <w:rPr>
          <w:rFonts w:ascii="Times New Roman" w:hAnsi="Times New Roman" w:cs="Times New Roman"/>
          <w:sz w:val="24"/>
          <w:szCs w:val="24"/>
          <w:lang w:val="it-IT"/>
        </w:rPr>
      </w:pPr>
      <w:r>
        <w:rPr>
          <w:rFonts w:cs="Times New Roman" w:ascii="Times New Roman" w:hAnsi="Times New Roman"/>
          <w:sz w:val="24"/>
          <w:szCs w:val="24"/>
          <w:lang w:val="it-IT"/>
        </w:rPr>
        <w:t xml:space="preserve">L’entità della fidejussione da versare viene calcolata in base a quanto previsto dalla D.G.R. n° VII/19461 del 19.11.2004 ed il suo importo definitivo verrà inserito direttamente in autorizzazione. Ci sono 30 giorni dal ricevimento dell’autorizzazione per provvedere al versamento della fidejussione o del deposito cauzionale. </w:t>
      </w:r>
      <w:r>
        <w:rPr>
          <w:rFonts w:cs="Times New Roman" w:ascii="Times New Roman" w:hAnsi="Times New Roman"/>
          <w:b/>
          <w:bCs/>
          <w:sz w:val="24"/>
          <w:szCs w:val="24"/>
          <w:lang w:val="it-IT"/>
        </w:rPr>
        <w:t>Scaduto tale termine senza che sia stata richiesta una specifica proroga, il provvedimento autorizzativo decadrà.</w:t>
      </w:r>
      <w:r>
        <w:rPr>
          <w:rFonts w:cs="Times New Roman" w:ascii="Times New Roman" w:hAnsi="Times New Roman"/>
          <w:sz w:val="24"/>
          <w:szCs w:val="24"/>
          <w:lang w:val="it-IT"/>
        </w:rPr>
        <w:t xml:space="preserve"> </w:t>
      </w:r>
    </w:p>
    <w:p>
      <w:pPr>
        <w:pStyle w:val="Normal"/>
        <w:jc w:val="both"/>
        <w:rPr>
          <w:rFonts w:ascii="Times New Roman" w:hAnsi="Times New Roman" w:cs="Times New Roman"/>
          <w:sz w:val="24"/>
          <w:szCs w:val="24"/>
          <w:lang w:val="it-IT"/>
        </w:rPr>
      </w:pPr>
      <w:r>
        <w:rPr>
          <w:rFonts w:cs="Times New Roman" w:ascii="Times New Roman" w:hAnsi="Times New Roman"/>
          <w:sz w:val="24"/>
          <w:szCs w:val="24"/>
          <w:lang w:val="it-IT"/>
        </w:rPr>
        <w:t>L’importo della fideiussione potrà essere:</w:t>
      </w:r>
    </w:p>
    <w:p>
      <w:pPr>
        <w:pStyle w:val="ListParagraph"/>
        <w:numPr>
          <w:ilvl w:val="0"/>
          <w:numId w:val="7"/>
        </w:numPr>
        <w:jc w:val="both"/>
        <w:rPr>
          <w:rFonts w:ascii="Times New Roman" w:hAnsi="Times New Roman" w:cs="Times New Roman"/>
          <w:sz w:val="24"/>
          <w:szCs w:val="24"/>
          <w:lang w:val="it-IT"/>
        </w:rPr>
      </w:pPr>
      <w:r>
        <w:rPr>
          <w:rFonts w:cs="Times New Roman" w:ascii="Times New Roman" w:hAnsi="Times New Roman"/>
          <w:sz w:val="24"/>
          <w:szCs w:val="24"/>
          <w:lang w:val="it-IT"/>
        </w:rPr>
        <w:t>abbattuta del 90 % (cioè ridotta al 10% del valore calcolato) nella quota parte dovuta alle frazioni di rifiuto messe in riserva per essere avviate a recupero (ovvero da sottoporre all’operazione R13) a patto che i quantitativi in stoccaggio siano avviati all’effettivo recupero entro 6 mesi dall’accettazione presso l’impianto;</w:t>
      </w:r>
    </w:p>
    <w:p>
      <w:pPr>
        <w:pStyle w:val="ListParagraph"/>
        <w:numPr>
          <w:ilvl w:val="0"/>
          <w:numId w:val="7"/>
        </w:numPr>
        <w:jc w:val="both"/>
        <w:rPr>
          <w:rFonts w:ascii="Times New Roman" w:hAnsi="Times New Roman" w:cs="Times New Roman"/>
          <w:sz w:val="24"/>
          <w:szCs w:val="24"/>
          <w:lang w:val="it-IT"/>
        </w:rPr>
      </w:pPr>
      <w:r>
        <w:rPr>
          <w:rFonts w:cs="Times New Roman" w:ascii="Times New Roman" w:hAnsi="Times New Roman"/>
          <w:sz w:val="24"/>
          <w:szCs w:val="24"/>
          <w:lang w:val="it-IT"/>
        </w:rPr>
        <w:t>abbattuta del 40 o 50 % (cioè ridotta al 60 o 50 % del valore inizialmente calcolato), nel caso in cui l’attività dell’impianto goda di certificazione ambientale (rispettivamente UNI EN ISO 14001 o EMAS), secondo quanto disposto dall’art.3 comma 2 bis del Decreto Legge 26.11.2010, n° 196, così come modificato dalla Legge di conversione 24.01.2011, n° 1.</w:t>
      </w:r>
    </w:p>
    <w:p>
      <w:pPr>
        <w:pStyle w:val="Normal"/>
        <w:jc w:val="both"/>
        <w:rPr>
          <w:rFonts w:ascii="Times New Roman" w:hAnsi="Times New Roman" w:cs="Times New Roman"/>
          <w:sz w:val="24"/>
          <w:szCs w:val="24"/>
          <w:lang w:val="it-IT"/>
        </w:rPr>
      </w:pPr>
      <w:r>
        <w:rPr>
          <w:rFonts w:cs="Times New Roman" w:ascii="Times New Roman" w:hAnsi="Times New Roman"/>
          <w:sz w:val="24"/>
          <w:szCs w:val="24"/>
          <w:lang w:val="it-IT"/>
        </w:rPr>
        <w:t xml:space="preserve">Si sottolinea che, come recita l’art 6 della DGR n° VII/19461 del 19.11.2004, la durata della garanzia finanziaria </w:t>
      </w:r>
      <w:r>
        <w:rPr>
          <w:rFonts w:cs="Times New Roman" w:ascii="Times New Roman" w:hAnsi="Times New Roman"/>
          <w:i/>
          <w:iCs/>
          <w:sz w:val="24"/>
          <w:szCs w:val="24"/>
          <w:lang w:val="it-IT"/>
        </w:rPr>
        <w:t>“…deve essere pari alla durata dell’autorizzazione, maggiorata di un anno. Le garanzie finanziarie restano valide fino a quando non verranno espressamente svincolate dall’Ente competente ad autorizzare l’attività</w:t>
      </w:r>
      <w:r>
        <w:rPr>
          <w:rFonts w:cs="Times New Roman" w:ascii="Times New Roman" w:hAnsi="Times New Roman"/>
          <w:sz w:val="24"/>
          <w:szCs w:val="24"/>
          <w:lang w:val="it-IT"/>
        </w:rPr>
        <w:t xml:space="preserve"> (Città metropolitana)” e restituite dall'istituto con cui era stata stipulata.</w:t>
      </w:r>
    </w:p>
    <w:p>
      <w:pPr>
        <w:pStyle w:val="Normal"/>
        <w:jc w:val="both"/>
        <w:rPr>
          <w:rFonts w:ascii="Times New Roman" w:hAnsi="Times New Roman" w:cs="Times New Roman"/>
          <w:sz w:val="24"/>
          <w:szCs w:val="24"/>
          <w:lang w:val="it-IT"/>
        </w:rPr>
      </w:pPr>
      <w:r>
        <w:rPr>
          <w:rFonts w:cs="Times New Roman" w:ascii="Times New Roman" w:hAnsi="Times New Roman"/>
          <w:sz w:val="24"/>
          <w:szCs w:val="24"/>
          <w:lang w:val="it-IT"/>
        </w:rPr>
      </w:r>
    </w:p>
    <w:p>
      <w:pPr>
        <w:pStyle w:val="Normal"/>
        <w:jc w:val="both"/>
        <w:rPr>
          <w:rFonts w:ascii="Times New Roman" w:hAnsi="Times New Roman" w:cs="Times New Roman"/>
          <w:sz w:val="24"/>
          <w:szCs w:val="24"/>
          <w:lang w:val="it-IT"/>
        </w:rPr>
      </w:pPr>
      <w:r>
        <w:rPr>
          <w:rFonts w:cs="Times New Roman" w:ascii="Times New Roman" w:hAnsi="Times New Roman"/>
          <w:b/>
          <w:bCs/>
          <w:sz w:val="24"/>
          <w:szCs w:val="24"/>
          <w:u w:val="single"/>
          <w:lang w:val="it-IT"/>
        </w:rPr>
        <w:t>Oneri di istruttoria</w:t>
      </w:r>
    </w:p>
    <w:p>
      <w:pPr>
        <w:pStyle w:val="Normal"/>
        <w:jc w:val="both"/>
        <w:rPr>
          <w:rFonts w:ascii="Times New Roman" w:hAnsi="Times New Roman" w:cs="Times New Roman"/>
          <w:sz w:val="24"/>
          <w:szCs w:val="24"/>
          <w:lang w:val="it-IT"/>
        </w:rPr>
      </w:pPr>
      <w:r>
        <w:rPr>
          <w:rFonts w:cs="Times New Roman" w:ascii="Times New Roman" w:hAnsi="Times New Roman"/>
          <w:sz w:val="24"/>
          <w:szCs w:val="24"/>
          <w:lang w:val="it-IT"/>
        </w:rPr>
        <w:t>Al rilascio delle autorizzazioni, sarà applicato quanto previsto nella D.G.R. n. 8882 del 24.04.2002, recepita con D.G.P. n. 132192 del 23.10.2002, ridefinita con Disposizione Dirigenziale n. 238 RG n. 16369 del 12.09.2008 e successive varianti ed integrazioni. Verrà cioè richiesto il versamento di oneri istruttori, a carico dei richiedenti, a fronte dell'effettuazione dell’istruttoria tecnica, dei controlli durante l’attività e di eventuali sopralluoghi per valutare la conformità delle opere realizzate a quanto previsto nei progetti approvati. Modalità di pagamento ed importi, che variano al variare del tipo di istanza che viene presentata, vengono indicati nella medesima pagina in cui si trova il presente testo, nel documento ‘Piattaforme comunali per la raccolta differenziata dei rifiuti. Vademecum per la presentazione di nuove istanze’. Gli importi indicati in questo documento si riferiscono ad impianti in cui le uniche operazioni effettuate sono la R13 e la D15. In caso di attivazione di altre tipologie di operazioni, o di contemporanea richiesta di rinnovo e/o variante e di voltura, sarà necessario procedere con un calcolo specifico, tramite il foglio di calcolo ‘Calcola oneri' presente sul sito di Città metropolitana, nella medesima sezione qua sopra citata.</w:t>
      </w:r>
    </w:p>
    <w:p>
      <w:pPr>
        <w:pStyle w:val="Normal"/>
        <w:jc w:val="both"/>
        <w:rPr>
          <w:rFonts w:ascii="Times New Roman" w:hAnsi="Times New Roman" w:cs="Times New Roman"/>
          <w:sz w:val="24"/>
          <w:szCs w:val="24"/>
          <w:lang w:val="it-IT"/>
        </w:rPr>
      </w:pPr>
      <w:r>
        <w:rPr>
          <w:rFonts w:cs="Times New Roman" w:ascii="Times New Roman" w:hAnsi="Times New Roman"/>
          <w:sz w:val="24"/>
          <w:szCs w:val="24"/>
          <w:lang w:val="it-IT"/>
        </w:rPr>
        <w:t>Analogamente alla fidejussione, anche per gli oneri istruttori è previsto il pagamento tramite giroconto sul Conto di Tesoreria Unica presso la Banca d’Italia (n° 0060133) se il pagamento è effettuato dal Comune, in caso contrario deve essere fatto un bonifico sul c.c. n° 1009/22, IBAN: IT 86 D 03069 01775 000000100922, BIC: BCITIT MM intestato alla Città metropolitana di Milano, Via Vivaio 1, 20122, Milano, partita IVA 08911820960.</w:t>
      </w:r>
    </w:p>
    <w:p>
      <w:pPr>
        <w:pStyle w:val="Normal"/>
        <w:jc w:val="both"/>
        <w:rPr>
          <w:rFonts w:ascii="Times New Roman" w:hAnsi="Times New Roman" w:cs="Times New Roman"/>
          <w:sz w:val="24"/>
          <w:szCs w:val="24"/>
          <w:lang w:val="it-IT"/>
        </w:rPr>
      </w:pPr>
      <w:r>
        <w:rPr>
          <w:rFonts w:cs="Times New Roman" w:ascii="Times New Roman" w:hAnsi="Times New Roman"/>
          <w:sz w:val="24"/>
          <w:szCs w:val="24"/>
          <w:lang w:val="it-IT"/>
        </w:rPr>
      </w:r>
    </w:p>
    <w:p>
      <w:pPr>
        <w:pStyle w:val="Normal"/>
        <w:jc w:val="both"/>
        <w:rPr>
          <w:rFonts w:ascii="Times New Roman" w:hAnsi="Times New Roman" w:cs="Times New Roman"/>
          <w:b/>
          <w:b/>
          <w:bCs/>
          <w:sz w:val="24"/>
          <w:szCs w:val="24"/>
          <w:u w:val="single"/>
          <w:lang w:val="it-IT"/>
        </w:rPr>
      </w:pPr>
      <w:r>
        <w:rPr>
          <w:rFonts w:cs="Times New Roman" w:ascii="Times New Roman" w:hAnsi="Times New Roman"/>
          <w:b/>
          <w:bCs/>
          <w:sz w:val="24"/>
          <w:szCs w:val="24"/>
          <w:u w:val="single"/>
          <w:lang w:val="it-IT"/>
        </w:rPr>
        <w:t>Termini di validità dell’autorizzazione</w:t>
      </w:r>
    </w:p>
    <w:p>
      <w:pPr>
        <w:pStyle w:val="Normal"/>
        <w:jc w:val="both"/>
        <w:rPr>
          <w:rFonts w:ascii="Times New Roman" w:hAnsi="Times New Roman" w:cs="Times New Roman"/>
          <w:sz w:val="24"/>
          <w:szCs w:val="24"/>
          <w:lang w:val="it-IT"/>
        </w:rPr>
      </w:pPr>
      <w:r>
        <w:rPr>
          <w:rFonts w:cs="Times New Roman" w:ascii="Times New Roman" w:hAnsi="Times New Roman"/>
          <w:sz w:val="24"/>
          <w:szCs w:val="24"/>
          <w:lang w:val="it-IT"/>
        </w:rPr>
        <w:t>Secondo quanto indicato nell'art. 208 del D.Lgs. 152/2006, la durata dell’autorizzazione è prevista in 10 anni ed il rinnovo va richiesto da parte del titolare 6 mesi prima della sua scadenza.</w:t>
      </w:r>
    </w:p>
    <w:p>
      <w:pPr>
        <w:pStyle w:val="Normal"/>
        <w:jc w:val="both"/>
        <w:rPr>
          <w:rFonts w:ascii="Times New Roman" w:hAnsi="Times New Roman" w:cs="Times New Roman"/>
          <w:sz w:val="24"/>
          <w:szCs w:val="24"/>
          <w:lang w:val="it-IT"/>
        </w:rPr>
      </w:pPr>
      <w:r>
        <w:rPr>
          <w:rFonts w:cs="Times New Roman" w:ascii="Times New Roman" w:hAnsi="Times New Roman"/>
          <w:sz w:val="24"/>
          <w:szCs w:val="24"/>
          <w:u w:val="single"/>
          <w:lang w:val="it-IT"/>
        </w:rPr>
        <w:t>Nel caso in cui, allo scadere dell’autorizzazione l’impianto goda di certificazione ambientale (UNI EN ISO 14001, EMAS, Ecolabel) e non siano intervenute modifiche rispetto a quanto contenuto nell’autorizzazione vigente, sarà possibile ottenere il rinnovo automatico dell’atto con il semplice versamento della nuova fidejussione e presentando, al momento del rinnovo</w:t>
      </w:r>
      <w:r>
        <w:rPr>
          <w:rFonts w:cs="Times New Roman" w:ascii="Times New Roman" w:hAnsi="Times New Roman"/>
          <w:sz w:val="24"/>
          <w:szCs w:val="24"/>
          <w:lang w:val="it-IT"/>
        </w:rPr>
        <w:t xml:space="preserve"> (quindi sempre entro 180 giorni dalla scadenza dell’autorizzazione), </w:t>
      </w:r>
      <w:r>
        <w:rPr>
          <w:rFonts w:cs="Times New Roman" w:ascii="Times New Roman" w:hAnsi="Times New Roman"/>
          <w:sz w:val="24"/>
          <w:szCs w:val="24"/>
          <w:u w:val="single"/>
          <w:lang w:val="it-IT"/>
        </w:rPr>
        <w:t>copia conforme della certificazione ambientale di cui sopra ed autocertificazione, ai sensi del DPR 445/2000, che nulla è cambiato rispetto all'assetto dell'impianto al momento del rilascio della precedente autorizzazione</w:t>
      </w:r>
      <w:r>
        <w:rPr>
          <w:rFonts w:cs="Times New Roman" w:ascii="Times New Roman" w:hAnsi="Times New Roman"/>
          <w:sz w:val="24"/>
          <w:szCs w:val="24"/>
          <w:lang w:val="it-IT"/>
        </w:rPr>
        <w:t xml:space="preserve"> (art 209 D.Lgs. 152/06).</w:t>
      </w:r>
    </w:p>
    <w:p>
      <w:pPr>
        <w:pStyle w:val="Normal"/>
        <w:jc w:val="both"/>
        <w:rPr>
          <w:rFonts w:ascii="Times New Roman" w:hAnsi="Times New Roman" w:cs="Times New Roman"/>
          <w:sz w:val="24"/>
          <w:szCs w:val="24"/>
          <w:lang w:val="it-IT"/>
        </w:rPr>
      </w:pPr>
      <w:r>
        <w:rPr>
          <w:rFonts w:cs="Times New Roman" w:ascii="Times New Roman" w:hAnsi="Times New Roman"/>
          <w:sz w:val="24"/>
          <w:szCs w:val="24"/>
          <w:lang w:val="it-IT"/>
        </w:rPr>
        <w:t>Si ricorda comunque che, in caso si volessero effettuare modifiche ed adeguamenti alla struttura/attività dell’impianto, si dovrà procedere preventivamente ad inoltrare specifica istanza, scegliendo fra quelle proposte tramite la piattaforma Inlinea, unico canale attraverso cui è possibile inoltrare le istanze relative ai procedimenti ex art. 208 del D.Lgs. 152/2006.</w:t>
      </w:r>
    </w:p>
    <w:p>
      <w:pPr>
        <w:pStyle w:val="Normal"/>
        <w:jc w:val="both"/>
        <w:rPr>
          <w:rFonts w:ascii="Times New Roman" w:hAnsi="Times New Roman" w:cs="Times New Roman"/>
          <w:i/>
          <w:i/>
          <w:iCs/>
          <w:sz w:val="24"/>
          <w:szCs w:val="24"/>
          <w:lang w:val="it-IT"/>
        </w:rPr>
      </w:pPr>
      <w:r>
        <w:rPr>
          <w:rFonts w:cs="Times New Roman" w:ascii="Times New Roman" w:hAnsi="Times New Roman"/>
          <w:sz w:val="24"/>
          <w:szCs w:val="24"/>
          <w:lang w:val="it-IT"/>
        </w:rPr>
        <w:t>Nel caso in cui in sede di controllo risulti la non conformità dell’impianto all’autorizzazione, trova applicazione quanto indicato dal comma 13 dell'art 208 del D.Lgs. 152/06, così come modificato dal D.Lgs. n. 4/2008, che recita: “</w:t>
      </w:r>
      <w:r>
        <w:rPr>
          <w:rFonts w:cs="Times New Roman" w:ascii="Times New Roman" w:hAnsi="Times New Roman"/>
          <w:i/>
          <w:iCs/>
          <w:sz w:val="24"/>
          <w:szCs w:val="24"/>
          <w:lang w:val="it-IT"/>
        </w:rPr>
        <w:t>Ferma restando l'applicazione delle norme sanzionatorie di cui al titolo VI della parte quarta del presente decreto, in caso di inosservanza delle prescrizioni dell'autorizzazione, l'autorità competente procede, secondo la gravità dell'infrazione: a) alla diffida, stabilendo un termine entro il quale devono essere eliminate le inosservanze; b) alla diffida e contestuale sospensione dell'autorizzazione per un tempo determinato, ove si manifestino situazioni di pericolo per la salute pubblica e per l'ambiente; c) alla revoca dell'autorizzazione in caso di mancato adeguamento alle prescrizioni imposte con la diffida e in caso di reiterate violazioni che determinino situazione di pericolo per la salute pubblica e per l'ambiente”.</w:t>
      </w:r>
    </w:p>
    <w:p>
      <w:pPr>
        <w:pStyle w:val="Normal"/>
        <w:jc w:val="both"/>
        <w:rPr>
          <w:rFonts w:ascii="Times New Roman" w:hAnsi="Times New Roman" w:cs="Times New Roman"/>
          <w:sz w:val="24"/>
          <w:szCs w:val="24"/>
          <w:lang w:val="it-IT"/>
        </w:rPr>
      </w:pPr>
      <w:r>
        <w:rPr>
          <w:rFonts w:cs="Times New Roman" w:ascii="Times New Roman" w:hAnsi="Times New Roman"/>
          <w:sz w:val="24"/>
          <w:szCs w:val="24"/>
          <w:lang w:val="it-IT"/>
        </w:rPr>
        <w:t>Si ricorda che, poichè l'autorizzazione ai sensi dell'art. 208 del D.Lgs. 152/06 è un’autorizzazione "unica", oltre ad autorizzare la gestione dei rifiuti propriamente detta, comprenderà anche l'autorizzazione allo scarico delle acque (sia in fognatura che in corso d’acqua superficiale che nel sottosuolo), l'eventuale autorizzazione alle emissioni in atmosfera e le valutazioni relative all'impatto acustico, ove previste per l'insediamento. L'istanza va presentata sulla piattaforma Inlinea presente sul sito di Città metropolitana, sezione Ambiente, completa di tutta la documentazione ivi richiesta, che varia a seconda della tipologia di istanza che si intende presentare, e che comprende anche quella richiesta dagli altri Enti coinvolti nell’istruttoria. Questi saranno coinvolti direttamente dai funzionari del Servizio Tecnico Rifiuti tramite Inlinea pertanto il soggetto richiedente l’autorizzazione non dovrà presentare alcuna altra richiesta agli altri Enti, fatta eccezione per quelle necessarie ad ottenere certificazioni PROPEDEUTICHE all’autorizzazione ex art. 208 del D.Lgs. 152/2006 (per esempio la certificazione paesaggistica e la verifica di assoggettabilità alla V.I.A.), la cui necessità potrà, in ogni caso, essere valutata direttamente tramite le check list appositamente predisposte nella sezione preliminare di Inlinea.</w:t>
      </w:r>
    </w:p>
    <w:p>
      <w:pPr>
        <w:pStyle w:val="Normal"/>
        <w:jc w:val="both"/>
        <w:rPr>
          <w:rFonts w:ascii="Times New Roman" w:hAnsi="Times New Roman" w:cs="Times New Roman"/>
          <w:sz w:val="24"/>
          <w:szCs w:val="24"/>
          <w:lang w:val="it-IT"/>
        </w:rPr>
      </w:pPr>
      <w:r>
        <w:rPr>
          <w:rFonts w:cs="Times New Roman" w:ascii="Times New Roman" w:hAnsi="Times New Roman"/>
          <w:sz w:val="24"/>
          <w:szCs w:val="24"/>
          <w:lang w:val="it-IT"/>
        </w:rPr>
      </w:r>
    </w:p>
    <w:p>
      <w:pPr>
        <w:pStyle w:val="Normal"/>
        <w:jc w:val="both"/>
        <w:rPr>
          <w:rFonts w:ascii="Times New Roman" w:hAnsi="Times New Roman" w:cs="Times New Roman"/>
          <w:sz w:val="24"/>
          <w:szCs w:val="24"/>
          <w:u w:val="single"/>
          <w:lang w:val="it-IT"/>
        </w:rPr>
      </w:pPr>
      <w:r>
        <w:rPr>
          <w:rFonts w:cs="Times New Roman" w:ascii="Times New Roman" w:hAnsi="Times New Roman"/>
          <w:b/>
          <w:bCs/>
          <w:sz w:val="24"/>
          <w:szCs w:val="24"/>
          <w:u w:val="single"/>
          <w:lang w:val="it-IT"/>
        </w:rPr>
        <w:t>Tempi delle istruttorie</w:t>
      </w:r>
    </w:p>
    <w:p>
      <w:pPr>
        <w:pStyle w:val="Normal"/>
        <w:jc w:val="both"/>
        <w:rPr/>
      </w:pPr>
      <w:r>
        <w:rPr>
          <w:rFonts w:cs="Times New Roman" w:ascii="Times New Roman" w:hAnsi="Times New Roman"/>
          <w:sz w:val="24"/>
          <w:szCs w:val="24"/>
          <w:lang w:val="it-IT"/>
        </w:rPr>
        <w:t>Il tempo indicato per il rilascio delle autorizzazioni è pari a 180 (150 + 30 per eventuali integrazioni) giorni per i rinnovi tal quali (art. 208 D.Lgs. 152/06) e per quelli con varianti, sia sostanziali che non sostanziali</w:t>
      </w:r>
      <w:r>
        <w:rPr>
          <w:rFonts w:eastAsia="Calibri" w:cs="Times New Roman" w:ascii="Times New Roman" w:hAnsi="Times New Roman" w:eastAsiaTheme="minorHAnsi"/>
          <w:color w:val="00000A"/>
          <w:sz w:val="24"/>
          <w:szCs w:val="24"/>
          <w:lang w:val="it-IT" w:eastAsia="en-US" w:bidi="ar-SA"/>
        </w:rPr>
        <w:t xml:space="preserve"> (d.d.g. provinciale 6907/2011), 150 giorni per i nuovi impianti e le varianti sostanziali (art. 208 D.Lgs. 152/06) e 90 giorni per le varianti non sostanziali (d.d.g. provinciale 6907/2011), le volture e le modifiche solo amministrative (l. 241/90).</w:t>
      </w:r>
    </w:p>
    <w:p>
      <w:pPr>
        <w:pStyle w:val="Normal"/>
        <w:jc w:val="both"/>
        <w:rPr/>
      </w:pPr>
      <w:r>
        <w:rPr>
          <w:rFonts w:cs="Times New Roman" w:ascii="Times New Roman" w:hAnsi="Times New Roman"/>
          <w:sz w:val="24"/>
          <w:szCs w:val="24"/>
          <w:lang w:val="it-IT"/>
        </w:rPr>
        <w:t>Tale termine sarà interrotto qualora sia richiesta della documentazione integrativa all’istanza presentata e ricomincerà a decorrere dal ricevimento della documentazione completa.</w:t>
      </w:r>
    </w:p>
    <w:p>
      <w:pPr>
        <w:pStyle w:val="Normal"/>
        <w:jc w:val="both"/>
        <w:rPr>
          <w:rFonts w:ascii="Times New Roman" w:hAnsi="Times New Roman" w:cs="Times New Roman"/>
          <w:sz w:val="24"/>
          <w:szCs w:val="24"/>
          <w:lang w:val="it-IT"/>
        </w:rPr>
      </w:pPr>
      <w:r>
        <w:rPr>
          <w:rFonts w:cs="Times New Roman" w:ascii="Times New Roman" w:hAnsi="Times New Roman"/>
          <w:sz w:val="24"/>
          <w:szCs w:val="24"/>
          <w:lang w:val="it-IT"/>
        </w:rPr>
        <w:t>L’istanza sarà archiviata, previo avviso, qualora le integrazioni richieste non vengano presentate né venga richiesta una proroga, adeguatamente motivata, dei tempi di consegna delle stesse.</w:t>
      </w:r>
    </w:p>
    <w:p>
      <w:pPr>
        <w:pStyle w:val="Normal"/>
        <w:jc w:val="both"/>
        <w:rPr>
          <w:rFonts w:ascii="Times New Roman" w:hAnsi="Times New Roman" w:cs="Times New Roman"/>
          <w:sz w:val="24"/>
          <w:szCs w:val="24"/>
          <w:lang w:val="it-IT"/>
        </w:rPr>
      </w:pPr>
      <w:r>
        <w:rPr>
          <w:rFonts w:cs="Times New Roman" w:ascii="Times New Roman" w:hAnsi="Times New Roman"/>
          <w:sz w:val="24"/>
          <w:szCs w:val="24"/>
          <w:lang w:val="it-IT"/>
        </w:rPr>
      </w:r>
    </w:p>
    <w:p>
      <w:pPr>
        <w:pStyle w:val="Normal"/>
        <w:jc w:val="both"/>
        <w:rPr/>
      </w:pPr>
      <w:r>
        <w:rPr>
          <w:rFonts w:cs="Times New Roman" w:ascii="Times New Roman" w:hAnsi="Times New Roman"/>
          <w:b/>
          <w:bCs/>
          <w:sz w:val="24"/>
          <w:szCs w:val="24"/>
          <w:u w:val="single"/>
          <w:lang w:val="it-IT"/>
        </w:rPr>
        <w:t xml:space="preserve">Riassumendo ed integrando per punti le informazioni sopra dettagliate, per le Piattaforme </w:t>
      </w:r>
      <w:r>
        <w:rPr>
          <w:rFonts w:cs="Times New Roman" w:ascii="Times New Roman" w:hAnsi="Times New Roman"/>
          <w:b/>
          <w:bCs/>
          <w:sz w:val="24"/>
          <w:szCs w:val="24"/>
          <w:u w:val="single"/>
          <w:lang w:val="it-IT"/>
        </w:rPr>
        <w:t xml:space="preserve">ecologiche comunali per la raccolta differenziata dei rifiuti </w:t>
      </w:r>
      <w:r>
        <w:rPr>
          <w:rFonts w:cs="Times New Roman" w:ascii="Times New Roman" w:hAnsi="Times New Roman"/>
          <w:b/>
          <w:bCs/>
          <w:sz w:val="24"/>
          <w:szCs w:val="24"/>
          <w:u w:val="single"/>
          <w:lang w:val="it-IT"/>
        </w:rPr>
        <w:t xml:space="preserve">risulta </w:t>
      </w:r>
      <w:r>
        <w:rPr>
          <w:rFonts w:cs="Times New Roman" w:ascii="Times New Roman" w:hAnsi="Times New Roman"/>
          <w:b/>
          <w:bCs/>
          <w:sz w:val="24"/>
          <w:szCs w:val="24"/>
          <w:u w:val="single"/>
          <w:lang w:val="it-IT"/>
        </w:rPr>
        <w:t>quanto  segue.</w:t>
      </w:r>
      <w:r>
        <w:rPr>
          <w:rFonts w:cs="Times New Roman" w:ascii="Times New Roman" w:hAnsi="Times New Roman"/>
          <w:sz w:val="24"/>
          <w:szCs w:val="24"/>
          <w:lang w:val="it-IT"/>
        </w:rPr>
        <w:t xml:space="preserve"> </w:t>
      </w:r>
    </w:p>
    <w:p>
      <w:pPr>
        <w:pStyle w:val="ListParagraph"/>
        <w:numPr>
          <w:ilvl w:val="0"/>
          <w:numId w:val="8"/>
        </w:numPr>
        <w:jc w:val="both"/>
        <w:rPr/>
      </w:pPr>
      <w:r>
        <w:rPr>
          <w:rFonts w:cs="Times New Roman" w:ascii="Times New Roman" w:hAnsi="Times New Roman"/>
          <w:sz w:val="24"/>
          <w:szCs w:val="24"/>
          <w:lang w:val="it-IT"/>
        </w:rPr>
        <w:t>V</w:t>
      </w:r>
      <w:r>
        <w:rPr>
          <w:rFonts w:cs="Times New Roman" w:ascii="Times New Roman" w:hAnsi="Times New Roman"/>
          <w:sz w:val="24"/>
          <w:szCs w:val="24"/>
          <w:lang w:val="it-IT"/>
        </w:rPr>
        <w:t>i conferiscono i cittadini residenti nel bacino servito (comunale o sovracomunale) ed eventualmente le aziende locali presenti nello stesso bacino</w:t>
      </w:r>
      <w:r>
        <w:rPr>
          <w:rFonts w:cs="Times New Roman" w:ascii="Times New Roman" w:hAnsi="Times New Roman"/>
          <w:color w:val="C00000"/>
          <w:sz w:val="24"/>
          <w:szCs w:val="24"/>
          <w:lang w:val="it-IT"/>
        </w:rPr>
        <w:t xml:space="preserve"> </w:t>
      </w:r>
      <w:r>
        <w:rPr>
          <w:rFonts w:cs="Times New Roman" w:ascii="Times New Roman" w:hAnsi="Times New Roman"/>
          <w:sz w:val="24"/>
          <w:szCs w:val="24"/>
          <w:lang w:val="it-IT"/>
        </w:rPr>
        <w:t>(art.198 D.Lgs. n° 152/06), dopo verifica di regolarità nei versamenti delle imposte relative ai rifiuti e dopo la sottoscrizione di una specifica convenzione o col Comune o col gestore dell’impianto o col titolare dell’autorizzazione, che dovrà essere riportata sul Regolamento Comunale per la gestione dei rifiuti.</w:t>
      </w:r>
    </w:p>
    <w:p>
      <w:pPr>
        <w:pStyle w:val="ListParagraph"/>
        <w:numPr>
          <w:ilvl w:val="0"/>
          <w:numId w:val="8"/>
        </w:numPr>
        <w:jc w:val="both"/>
        <w:rPr>
          <w:rFonts w:ascii="Times New Roman" w:hAnsi="Times New Roman" w:cs="Times New Roman"/>
          <w:sz w:val="24"/>
          <w:szCs w:val="24"/>
          <w:lang w:val="it-IT"/>
        </w:rPr>
      </w:pPr>
      <w:r>
        <w:rPr>
          <w:rFonts w:cs="Times New Roman" w:ascii="Times New Roman" w:hAnsi="Times New Roman"/>
          <w:sz w:val="24"/>
          <w:szCs w:val="24"/>
          <w:lang w:val="it-IT"/>
        </w:rPr>
        <w:t>I rifiuti conferibili ed i CER a questi attribuiti, le modalità di stoccaggio e le operazioni svolte sui rifiuti, sono definiti nell’autorizzazione che regge l’attività dell’impianto, emessa a seguito delle valutazioni espresse dai diversi Enti, in sede istruttoria, sul progetto presentato dal titolare. Eventuali modifiche a quanto previsto nell’autorizzazione possono essere effettuate solamente dopo aver richiesto, ed ottenuto, da parte dell’Ente autorizzante, in seguito a specifica istruttoria, una variante alla stessa.</w:t>
      </w:r>
    </w:p>
    <w:p>
      <w:pPr>
        <w:pStyle w:val="ListParagraph"/>
        <w:numPr>
          <w:ilvl w:val="0"/>
          <w:numId w:val="8"/>
        </w:numPr>
        <w:jc w:val="both"/>
        <w:rPr>
          <w:rFonts w:ascii="Times New Roman" w:hAnsi="Times New Roman" w:cs="Times New Roman"/>
          <w:sz w:val="24"/>
          <w:szCs w:val="24"/>
          <w:lang w:val="it-IT"/>
        </w:rPr>
      </w:pPr>
      <w:r>
        <w:rPr>
          <w:rFonts w:cs="Times New Roman" w:ascii="Times New Roman" w:hAnsi="Times New Roman"/>
          <w:sz w:val="24"/>
          <w:szCs w:val="24"/>
          <w:lang w:val="it-IT"/>
        </w:rPr>
        <w:t>In generale, individuando le diverse tipologie di rifiuti sulla base dei CER a questi attribuiti, in assenza di accordi specifici fra il Comune e le ditte presenti sul territorio del bacino servito dall’impianto, i codici che possono essere ammessi negli impianti pubblici per la raccolta differenziata dei rifiuti urbani sono i 20.nn.nn e i 15.nn.nn, oltre ad altre frazioni con codici specifici che identificano tipologie di rifiuto che possono avere origine domestica ma che sono privi di un codice CER nella famiglia dei rifiuti urbani (20.nn.nn.) o in quella degli imballaggi (15.nn.nn.) come, ad esempio, materiali inerti 170904, cartucce esauste di toner 080317* o 080318, etc....</w:t>
      </w:r>
    </w:p>
    <w:p>
      <w:pPr>
        <w:pStyle w:val="ListParagraph"/>
        <w:numPr>
          <w:ilvl w:val="0"/>
          <w:numId w:val="8"/>
        </w:numPr>
        <w:jc w:val="both"/>
        <w:rPr/>
      </w:pPr>
      <w:r>
        <w:rPr>
          <w:rFonts w:cs="Times New Roman" w:ascii="Times New Roman" w:hAnsi="Times New Roman"/>
          <w:sz w:val="24"/>
          <w:szCs w:val="24"/>
          <w:lang w:val="it-IT"/>
        </w:rPr>
        <w:t xml:space="preserve">Il cittadino conferisce il rifiuto urbano (pericoloso o non pericoloso) nei quantitativi massimi previsti dal regolamento di gestione, dopo essere stato identificato in ingresso da personale del gestore (con C.I., C.R.S. </w:t>
      </w:r>
      <w:r>
        <w:rPr>
          <w:rFonts w:cs="Times New Roman" w:ascii="Times New Roman" w:hAnsi="Times New Roman"/>
          <w:sz w:val="24"/>
          <w:szCs w:val="24"/>
          <w:lang w:val="it-IT"/>
        </w:rPr>
        <w:t>o</w:t>
      </w:r>
      <w:r>
        <w:rPr>
          <w:rFonts w:cs="Times New Roman" w:ascii="Times New Roman" w:hAnsi="Times New Roman"/>
          <w:sz w:val="24"/>
          <w:szCs w:val="24"/>
          <w:lang w:val="it-IT"/>
        </w:rPr>
        <w:t xml:space="preserve"> badge dedicato).</w:t>
      </w:r>
    </w:p>
    <w:p>
      <w:pPr>
        <w:pStyle w:val="ListParagraph"/>
        <w:numPr>
          <w:ilvl w:val="0"/>
          <w:numId w:val="8"/>
        </w:numPr>
        <w:jc w:val="both"/>
        <w:rPr/>
      </w:pPr>
      <w:r>
        <w:rPr>
          <w:rFonts w:cs="Times New Roman" w:ascii="Times New Roman" w:hAnsi="Times New Roman"/>
          <w:sz w:val="24"/>
          <w:szCs w:val="24"/>
          <w:lang w:val="it-IT"/>
        </w:rPr>
        <w:t xml:space="preserve">L’azienda, </w:t>
      </w:r>
      <w:r>
        <w:rPr>
          <w:rFonts w:cs="Times New Roman" w:ascii="Times New Roman" w:hAnsi="Times New Roman"/>
          <w:color w:val="000000" w:themeColor="text1"/>
          <w:sz w:val="24"/>
          <w:szCs w:val="24"/>
          <w:lang w:val="it-IT"/>
        </w:rPr>
        <w:t xml:space="preserve">dopo </w:t>
      </w:r>
      <w:r>
        <w:rPr>
          <w:rFonts w:cs="Times New Roman" w:ascii="Times New Roman" w:hAnsi="Times New Roman"/>
          <w:sz w:val="24"/>
          <w:szCs w:val="24"/>
          <w:lang w:val="it-IT"/>
        </w:rPr>
        <w:t xml:space="preserve">essere stata identificata in ingresso dal personale gestore (generalmente con badge dedicato), conferisce </w:t>
      </w:r>
      <w:r>
        <w:rPr>
          <w:rFonts w:cs="Times New Roman" w:ascii="Times New Roman" w:hAnsi="Times New Roman"/>
          <w:color w:val="000000" w:themeColor="text1"/>
          <w:sz w:val="24"/>
          <w:szCs w:val="24"/>
          <w:lang w:val="it-IT"/>
        </w:rPr>
        <w:t xml:space="preserve">solo le frazioni non pericolose assimilate agli urbani, a meno che non abbia sottoscritto col Comune/Gestore specifici contratti per il conferimento anche dei rifiuti speciali, nei modi e </w:t>
      </w:r>
      <w:r>
        <w:rPr>
          <w:rFonts w:cs="Times New Roman" w:ascii="Times New Roman" w:hAnsi="Times New Roman"/>
          <w:color w:val="000000" w:themeColor="text1"/>
          <w:sz w:val="24"/>
          <w:szCs w:val="24"/>
          <w:lang w:val="it-IT"/>
        </w:rPr>
        <w:t xml:space="preserve">coi </w:t>
      </w:r>
      <w:r>
        <w:rPr>
          <w:rFonts w:cs="Times New Roman" w:ascii="Times New Roman" w:hAnsi="Times New Roman"/>
          <w:color w:val="000000" w:themeColor="text1"/>
          <w:sz w:val="24"/>
          <w:szCs w:val="24"/>
          <w:lang w:val="it-IT"/>
        </w:rPr>
        <w:t>quantitativi indicati nel regolamento di gestione e in suddetti contratti</w:t>
      </w:r>
      <w:r>
        <w:rPr>
          <w:rFonts w:cs="Times New Roman" w:ascii="Times New Roman" w:hAnsi="Times New Roman"/>
          <w:sz w:val="24"/>
          <w:szCs w:val="24"/>
          <w:lang w:val="it-IT"/>
        </w:rPr>
        <w:t>. Nel caso il conferimento non sia occasionale e/o superi i 30 kg a conferimento o i 100 kg all’anno (come definito dall’ art 193 comma 5 del D.Lgs. 152/06), il trasporto del rifiuto verso la piattaforma deve avvenire con formulario, su cui deve essere indicato il quantitativo del rifiuto conferito (registrato in carico su registro di carico e scarico dell’impianto), e che deve essere trattenuto in copia dal gestore (copia destinatario), e reso nelle altre copie alla ditta conferitrice.</w:t>
      </w:r>
    </w:p>
    <w:p>
      <w:pPr>
        <w:pStyle w:val="ListParagraph"/>
        <w:numPr>
          <w:ilvl w:val="0"/>
          <w:numId w:val="8"/>
        </w:numPr>
        <w:jc w:val="both"/>
        <w:rPr/>
      </w:pPr>
      <w:r>
        <w:rPr>
          <w:rFonts w:cs="Times New Roman" w:ascii="Times New Roman" w:hAnsi="Times New Roman"/>
          <w:sz w:val="24"/>
          <w:szCs w:val="24"/>
          <w:lang w:val="it-IT"/>
        </w:rPr>
        <w:t xml:space="preserve">La tipologia di rifiuti speciali conferibili dalle ditte deve comunque sempre essere correlata ad una omologa di origine urbana e non deve derivare dall’attività prevalente della ditta. </w:t>
      </w:r>
      <w:r>
        <w:rPr>
          <w:rFonts w:cs="Times New Roman" w:ascii="Times New Roman" w:hAnsi="Times New Roman"/>
          <w:sz w:val="24"/>
          <w:szCs w:val="24"/>
          <w:lang w:val="it-IT"/>
        </w:rPr>
        <w:t xml:space="preserve">Anche i quantitativi prodotti devono essere paragonabili a quelli di origine urbana. </w:t>
      </w:r>
    </w:p>
    <w:p>
      <w:pPr>
        <w:pStyle w:val="ListParagraph"/>
        <w:numPr>
          <w:ilvl w:val="0"/>
          <w:numId w:val="8"/>
        </w:numPr>
        <w:jc w:val="both"/>
        <w:rPr/>
      </w:pPr>
      <w:r>
        <w:rPr>
          <w:rFonts w:cs="Times New Roman" w:ascii="Times New Roman" w:hAnsi="Times New Roman"/>
          <w:sz w:val="24"/>
          <w:szCs w:val="24"/>
          <w:lang w:val="it-IT"/>
        </w:rPr>
        <w:t xml:space="preserve">I </w:t>
      </w:r>
      <w:r>
        <w:rPr>
          <w:rFonts w:cs="Times New Roman" w:ascii="Times New Roman" w:hAnsi="Times New Roman"/>
          <w:sz w:val="24"/>
          <w:szCs w:val="24"/>
          <w:lang w:val="it-IT"/>
        </w:rPr>
        <w:t>rifiuti speciali devono avere una contabilizzazione separata da quelli urbani e da quelli assimilati e non possono essere conteggiati nella percentuale di raccolta differenziata effettuata annualmente dai Comuni ma, a parità di caratteristiche merceologiche, possono essere conferiti insieme a quelli urbani ed assimilati.</w:t>
      </w:r>
    </w:p>
    <w:p>
      <w:pPr>
        <w:pStyle w:val="ListParagraph"/>
        <w:numPr>
          <w:ilvl w:val="0"/>
          <w:numId w:val="8"/>
        </w:numPr>
        <w:jc w:val="both"/>
        <w:rPr>
          <w:rFonts w:ascii="Times New Roman" w:hAnsi="Times New Roman" w:cs="Times New Roman"/>
          <w:sz w:val="24"/>
          <w:szCs w:val="24"/>
          <w:lang w:val="it-IT"/>
        </w:rPr>
      </w:pPr>
      <w:r>
        <w:rPr>
          <w:rFonts w:cs="Times New Roman" w:ascii="Times New Roman" w:hAnsi="Times New Roman"/>
          <w:sz w:val="24"/>
          <w:szCs w:val="24"/>
          <w:lang w:val="it-IT"/>
        </w:rPr>
        <w:t>È opportuno che l’impianto, o per lo meno i mezzi che si occupano del trasporto dei rifiuti, siano dotati di un idoneo sistema di controllo dei pesi dei rifiuti in ingresso e in uscita, al fine di garantire la loro corretta registrazione e contabilizzazione quindi la tracciabilità degli stessi.</w:t>
      </w:r>
    </w:p>
    <w:p>
      <w:pPr>
        <w:pStyle w:val="ListParagraph"/>
        <w:numPr>
          <w:ilvl w:val="0"/>
          <w:numId w:val="8"/>
        </w:numPr>
        <w:jc w:val="both"/>
        <w:rPr>
          <w:rFonts w:ascii="Times New Roman" w:hAnsi="Times New Roman" w:cs="Times New Roman"/>
          <w:sz w:val="24"/>
          <w:szCs w:val="24"/>
          <w:lang w:val="it-IT"/>
        </w:rPr>
      </w:pPr>
      <w:r>
        <w:rPr>
          <w:rFonts w:cs="Times New Roman" w:ascii="Times New Roman" w:hAnsi="Times New Roman"/>
          <w:sz w:val="24"/>
          <w:szCs w:val="24"/>
          <w:lang w:val="it-IT"/>
        </w:rPr>
        <w:t>I rifiuti (pericolosi e non) sono registrati, in ingresso ed uscita, sul registro di carico e scarico (intestati al titolare dell’autorizzazione che si configura anche come produttore del rifiuto originato in impianto), correlando le operazioni di scarico con quelle di carico che ne hanno originato il quantitativo. Tranne nei casi di rifiuti conferiti in piattaforma da aziende private, che entrano accompagnati da un FIR, i cui dati devono essere riportati sul registro dell’impianto alla voce “carico” per i rifiuti conferiti dai privati cittadini le voci ‘carico’ e ‘scarico’ verranno compilate simultaneamente, al momento dell’allontanamento degli stessi dall’impianto e non ad ogni singolo conferimento. L’avvio ai successivi impianti di destino poi avviene con mezzi idonei, autorizzati al trasporto delle specifiche categorie di rifiuti che intendono trasportare, assicurandosi che siano sempre accompagnati da formulario di trasporto registrato in scarico sul registro dell’impianto, così come previsto dall’art 190 del D.Lgs. 152/06 e dalla circolare ministeriale del 4 agosto 1998, n° GAB/DEC/812/98.</w:t>
      </w:r>
    </w:p>
    <w:p>
      <w:pPr>
        <w:pStyle w:val="ListParagraph"/>
        <w:numPr>
          <w:ilvl w:val="0"/>
          <w:numId w:val="8"/>
        </w:numPr>
        <w:jc w:val="both"/>
        <w:rPr>
          <w:rFonts w:ascii="Times New Roman" w:hAnsi="Times New Roman" w:cs="Times New Roman"/>
          <w:sz w:val="24"/>
          <w:szCs w:val="24"/>
          <w:lang w:val="it-IT"/>
        </w:rPr>
      </w:pPr>
      <w:r>
        <w:rPr>
          <w:rFonts w:cs="Times New Roman" w:ascii="Times New Roman" w:hAnsi="Times New Roman"/>
          <w:sz w:val="24"/>
          <w:szCs w:val="24"/>
          <w:lang w:val="it-IT"/>
        </w:rPr>
        <w:t>Il gestore è o direttamente il Comune, o l’azienda che si è aggiudicata l’appalto pubblico oppure l’azienda, anche a capitale pubblico, titolare dell’autorizzazione. Si può occupare, completamente o in parte, della gestione “pratica” dell’impianto (pulizia, supporto e controllo dei conferitori, piccole manutenzioni ordinarie), di quella “amministrativa” (registri di carico e scarico, formulari), di quella “logistica” (movimentazione dei cassoni/contenitori, trasporto dei rifiuti verso gli impianti di destino, trasbordo frazioni da pulizia e/o da RD sul territorio, nell’ambito dei servizi di Igiene Urbana). Usualmente personale qualificato della stessa azienda si occupa anche della Direzione Tecnica dell’impianto ma questa può essere affidata, da parte del titolare dell’autorizzazione, anche ad un soggetto terzo, tramite incarico specifico. In alcuni casi è possibile, in accordo con il gestore, che il Comune si avvalga anche di associazioni di volontariato solidale, le quali però possono solo fornire la prestazione d’opera, solitamente per il presidio o la pulizia delle aree, lasciando in carico al gestore ed al titolare le proprie responsabilità.</w:t>
      </w:r>
    </w:p>
    <w:p>
      <w:pPr>
        <w:pStyle w:val="ListParagraph"/>
        <w:numPr>
          <w:ilvl w:val="0"/>
          <w:numId w:val="8"/>
        </w:numPr>
        <w:jc w:val="both"/>
        <w:rPr>
          <w:rFonts w:ascii="Times New Roman" w:hAnsi="Times New Roman" w:cs="Times New Roman"/>
          <w:sz w:val="24"/>
          <w:szCs w:val="24"/>
          <w:lang w:val="it-IT"/>
        </w:rPr>
      </w:pPr>
      <w:bookmarkStart w:id="2" w:name="_Hlk43386263"/>
      <w:r>
        <w:rPr>
          <w:rFonts w:cs="Times New Roman" w:ascii="Times New Roman" w:hAnsi="Times New Roman"/>
          <w:sz w:val="24"/>
          <w:szCs w:val="24"/>
          <w:lang w:val="it-IT"/>
        </w:rPr>
        <w:t>È</w:t>
      </w:r>
      <w:bookmarkEnd w:id="2"/>
      <w:r>
        <w:rPr>
          <w:rFonts w:cs="Times New Roman" w:ascii="Times New Roman" w:hAnsi="Times New Roman"/>
          <w:sz w:val="24"/>
          <w:szCs w:val="24"/>
          <w:lang w:val="it-IT"/>
        </w:rPr>
        <w:t xml:space="preserve"> possibile intervenire parzialmente sul rifiuto al momento del conferimento, per ottimizzare la separazione delle parti in tipologie omogenee da avviare preferibilmente al recupero. Tali operazioni non devono comunque essere svolte con attrezzature, né possono essere svolte su frazioni quali i Raee, in quanto tali azioni sono permesse solo in impianti specificamente autorizzati, diversi dalle piattaforme per la raccolta differenziata dei rifiuti urbani.</w:t>
      </w:r>
    </w:p>
    <w:p>
      <w:pPr>
        <w:pStyle w:val="ListParagraph"/>
        <w:numPr>
          <w:ilvl w:val="0"/>
          <w:numId w:val="8"/>
        </w:numPr>
        <w:jc w:val="both"/>
        <w:rPr>
          <w:rFonts w:ascii="Times New Roman" w:hAnsi="Times New Roman" w:cs="Times New Roman"/>
          <w:sz w:val="24"/>
          <w:szCs w:val="24"/>
          <w:lang w:val="it-IT"/>
        </w:rPr>
      </w:pPr>
      <w:r>
        <w:rPr>
          <w:rFonts w:cs="Times New Roman" w:ascii="Times New Roman" w:hAnsi="Times New Roman"/>
          <w:sz w:val="24"/>
          <w:szCs w:val="24"/>
          <w:lang w:val="it-IT"/>
        </w:rPr>
        <w:t>È possibile prevedere in autorizzazione delle aree dove posizionare cassoni/contenitori dedicati al trasbordo dei rifiuti raccolti dall’azienda che svolge il servizio di raccolta ed igiene urbana sul territorio del bacino servito, oltre a sistemi di compattazione/pressatura di rifiuti, finalizzati all’ottimizzazione del trasporto verso impianti terzi per il successivo trattamento.</w:t>
      </w:r>
    </w:p>
    <w:p>
      <w:pPr>
        <w:pStyle w:val="ListParagraph"/>
        <w:numPr>
          <w:ilvl w:val="0"/>
          <w:numId w:val="8"/>
        </w:numPr>
        <w:jc w:val="both"/>
        <w:rPr>
          <w:rFonts w:ascii="Times New Roman" w:hAnsi="Times New Roman" w:cs="Times New Roman"/>
          <w:sz w:val="24"/>
          <w:szCs w:val="24"/>
          <w:lang w:val="it-IT"/>
        </w:rPr>
      </w:pPr>
      <w:r>
        <w:rPr>
          <w:rFonts w:cs="Times New Roman" w:ascii="Times New Roman" w:hAnsi="Times New Roman"/>
          <w:sz w:val="24"/>
          <w:szCs w:val="24"/>
          <w:lang w:val="it-IT"/>
        </w:rPr>
        <w:t>È possibile prevedere, già in autorizzazione, delle aree e/o contenitori e cassoni da dedicare alla messa in sicurezza dei rifiuti rinvenuti abbandonati sul territorio (classificabili sempre come urbani ai sensi dell’art. 184, comma 2, lett. d del D.Lgs. 152/06), prima della loro corretta classificazione e successivo avvio agli impianti di recupero o smaltimento. Il deposito e la registrazione di questi rifiuti dovranno sempre essere giustificati dalla documentazione relativa ai risultati dell’omologa, tenuto conto che la tipologia del rifiuto ed il C.E.R attribuitogli, a seguito degli accertamenti analitici, possono essere non presenti nell’elenco dell’autorizzazione.</w:t>
      </w:r>
    </w:p>
    <w:p>
      <w:pPr>
        <w:pStyle w:val="ListParagraph"/>
        <w:numPr>
          <w:ilvl w:val="0"/>
          <w:numId w:val="8"/>
        </w:numPr>
        <w:jc w:val="both"/>
        <w:rPr>
          <w:rFonts w:ascii="Times New Roman" w:hAnsi="Times New Roman" w:cs="Times New Roman"/>
          <w:sz w:val="24"/>
          <w:szCs w:val="24"/>
          <w:lang w:val="it-IT"/>
        </w:rPr>
      </w:pPr>
      <w:r>
        <w:rPr>
          <w:rFonts w:cs="Times New Roman" w:ascii="Times New Roman" w:hAnsi="Times New Roman"/>
          <w:sz w:val="24"/>
          <w:szCs w:val="24"/>
          <w:lang w:val="it-IT"/>
        </w:rPr>
        <w:t>Sono impianti trattamento rifiuti dotati di Autorizzazione Unica, rilasciata ai sensi dell’art 208 del D.Lgs. 152/06, e dell’ex-art 16 della L.R. n.26/2003. Le operazioni solitamente autorizzate sono la R13 (messa in riserva per poi avviare il rifiuto entro un periodo massimo di sei mesi a successive operazioni di recupero presso altri impianti) e la D15 (deposito preliminare per poi avviare il rifiuto a successive operazioni di smaltimento presso altri impianti).</w:t>
      </w:r>
    </w:p>
    <w:p>
      <w:pPr>
        <w:pStyle w:val="ListParagraph"/>
        <w:numPr>
          <w:ilvl w:val="0"/>
          <w:numId w:val="8"/>
        </w:numPr>
        <w:jc w:val="both"/>
        <w:rPr>
          <w:rFonts w:ascii="Times New Roman" w:hAnsi="Times New Roman" w:cs="Times New Roman"/>
          <w:sz w:val="24"/>
          <w:szCs w:val="24"/>
          <w:lang w:val="it-IT"/>
        </w:rPr>
      </w:pPr>
      <w:r>
        <w:rPr>
          <w:rFonts w:cs="Times New Roman" w:ascii="Times New Roman" w:hAnsi="Times New Roman"/>
          <w:b/>
          <w:bCs/>
          <w:sz w:val="24"/>
          <w:szCs w:val="24"/>
          <w:lang w:val="it-IT"/>
        </w:rPr>
        <w:t>Pro e contro dell’autorizzazione ex art. 208 del D.Lgs. 152/06</w:t>
      </w:r>
      <w:r>
        <w:rPr>
          <w:rFonts w:cs="Times New Roman" w:ascii="Times New Roman" w:hAnsi="Times New Roman"/>
          <w:sz w:val="24"/>
          <w:szCs w:val="24"/>
          <w:lang w:val="it-IT"/>
        </w:rPr>
        <w:t>.</w:t>
      </w:r>
    </w:p>
    <w:p>
      <w:pPr>
        <w:pStyle w:val="ListParagraph"/>
        <w:jc w:val="both"/>
        <w:rPr>
          <w:rFonts w:ascii="Times New Roman" w:hAnsi="Times New Roman" w:cs="Times New Roman"/>
          <w:sz w:val="24"/>
          <w:szCs w:val="24"/>
          <w:lang w:val="it-IT"/>
        </w:rPr>
      </w:pPr>
      <w:r>
        <w:rPr>
          <w:rFonts w:cs="Times New Roman" w:ascii="Times New Roman" w:hAnsi="Times New Roman"/>
          <w:sz w:val="24"/>
          <w:szCs w:val="24"/>
          <w:lang w:val="it-IT"/>
        </w:rPr>
        <w:t>L’autorizzazione da un lato consente di avere un atto strutturato, predisposto da Ente terzo rispetto al titolare della stessa, definito in seguito a procedure in cui sono stati coinvolti tutti gli Enti competenti, sono stati acquisiti i pareri e le autorizzazioni accessorie e svolte tutte le verifiche propedeutiche al corretto rilascio dell’atto. La presenza di un provvedimento così strutturato, facilita la verifica della correttezza della gestione dell’impianto, visto che contiene anche le prescrizioni tecniche ed i richiami normativi specifici per l’impianto in oggetto.</w:t>
      </w:r>
    </w:p>
    <w:p>
      <w:pPr>
        <w:pStyle w:val="ListParagraph"/>
        <w:jc w:val="both"/>
        <w:rPr>
          <w:rFonts w:ascii="Times New Roman" w:hAnsi="Times New Roman" w:cs="Times New Roman"/>
          <w:sz w:val="24"/>
          <w:szCs w:val="24"/>
          <w:lang w:val="it-IT"/>
        </w:rPr>
      </w:pPr>
      <w:r>
        <w:rPr>
          <w:rFonts w:cs="Times New Roman" w:ascii="Times New Roman" w:hAnsi="Times New Roman"/>
          <w:sz w:val="24"/>
          <w:szCs w:val="24"/>
          <w:lang w:val="it-IT"/>
        </w:rPr>
        <w:t>D’altra parte, l’autorizzazione “ingessa” l’attività dell’impianto, obbligando, prima di procedere a modifiche (strutturali, gestionali o di adeguamento normativo) a richiederne una variante all’Ente che l’ha rilasciata.</w:t>
      </w:r>
    </w:p>
    <w:p>
      <w:pPr>
        <w:pStyle w:val="Normal"/>
        <w:ind w:left="709" w:hanging="425"/>
        <w:jc w:val="both"/>
        <w:rPr>
          <w:rFonts w:ascii="Times New Roman" w:hAnsi="Times New Roman" w:cs="Times New Roman"/>
          <w:sz w:val="24"/>
          <w:szCs w:val="24"/>
          <w:lang w:val="it-IT"/>
        </w:rPr>
      </w:pPr>
      <w:r>
        <w:rPr>
          <w:rFonts w:cs="Times New Roman" w:ascii="Times New Roman" w:hAnsi="Times New Roman"/>
          <w:sz w:val="24"/>
          <w:szCs w:val="24"/>
          <w:lang w:val="it-IT"/>
        </w:rPr>
        <w:t>n) L’autorizzazione unica, riassume in sé eventuali altre autorizzazioni (quale l’autorizzazione allo scarico delle acque, prevista ai sensi dell’art 124 del D.Lgs. 152/06, della LR 26/03 e del RR 4/06, e quella allo scarico in atmosfera) e recepisce, nel senso che si confà, quanto prescritto nelle eventuali autorizzazioni propedeutiche (quale l’autorizzazione paesistica), costituendo così un “unicum” di riferimento per l’impianto, nel quale tutte le autorizzazioni saranno raggruppate in un unico atto ed avranno identica univoca scadenza.</w:t>
      </w:r>
    </w:p>
    <w:p>
      <w:pPr>
        <w:pStyle w:val="Normal"/>
        <w:ind w:left="709" w:hanging="283"/>
        <w:jc w:val="both"/>
        <w:rPr>
          <w:rFonts w:ascii="Times New Roman" w:hAnsi="Times New Roman" w:cs="Times New Roman"/>
          <w:sz w:val="24"/>
          <w:szCs w:val="24"/>
          <w:lang w:val="it-IT"/>
        </w:rPr>
      </w:pPr>
      <w:r>
        <w:rPr>
          <w:rFonts w:cs="Times New Roman" w:ascii="Times New Roman" w:hAnsi="Times New Roman"/>
          <w:sz w:val="24"/>
          <w:szCs w:val="24"/>
          <w:lang w:val="it-IT"/>
        </w:rPr>
        <w:t>o) Il titolare dell’autorizzazione alla realizzazione e gestione (e successive varianti) è un soggetto pubblico (Comune o Azienda a capitale pubblico ad esempio nata dalla trasformazione delle ex municipalizzate o tramite la fondazione di specifici consorzi) già soggetto a controlli preventivi, rendendo così non necessari accertamenti tipo la certificazione antimafia o il DURC.</w:t>
      </w:r>
    </w:p>
    <w:p>
      <w:pPr>
        <w:pStyle w:val="Normal"/>
        <w:ind w:left="709" w:hanging="283"/>
        <w:jc w:val="both"/>
        <w:rPr>
          <w:rFonts w:ascii="Times New Roman" w:hAnsi="Times New Roman" w:cs="Times New Roman"/>
          <w:sz w:val="24"/>
          <w:szCs w:val="24"/>
          <w:lang w:val="it-IT"/>
        </w:rPr>
      </w:pPr>
      <w:r>
        <w:rPr>
          <w:rFonts w:cs="Times New Roman" w:ascii="Times New Roman" w:hAnsi="Times New Roman"/>
          <w:sz w:val="24"/>
          <w:szCs w:val="24"/>
          <w:lang w:val="it-IT"/>
        </w:rPr>
        <w:t xml:space="preserve">p) La realizzazione di un nuovo impianto o di una variante sostanziale di un impianto esistente, comporta la procedura di verifica di assoggettabilità alla V.I.A., esclusa solamente nel caso in cui l’impianto non ricada in nessuna delle condizioni indicate nell’Allegato IV alla Parte Seconda del Dlgs n.152/06. </w:t>
      </w:r>
      <w:r>
        <w:rPr>
          <w:rFonts w:cs="Times New Roman" w:ascii="Times New Roman" w:hAnsi="Times New Roman"/>
          <w:b/>
          <w:bCs/>
          <w:sz w:val="24"/>
          <w:szCs w:val="24"/>
          <w:lang w:val="it-IT"/>
        </w:rPr>
        <w:t>Non sono interessati dalla procedura di Verifica di Assoggettabilità alla V.I.A</w:t>
      </w:r>
      <w:r>
        <w:rPr>
          <w:rFonts w:cs="Times New Roman" w:ascii="Times New Roman" w:hAnsi="Times New Roman"/>
          <w:sz w:val="24"/>
          <w:szCs w:val="24"/>
          <w:lang w:val="it-IT"/>
        </w:rPr>
        <w:t xml:space="preserve">. ex art. 20 del D.Lgs. n.152/06, </w:t>
      </w:r>
      <w:r>
        <w:rPr>
          <w:rFonts w:cs="Times New Roman" w:ascii="Times New Roman" w:hAnsi="Times New Roman"/>
          <w:b/>
          <w:bCs/>
          <w:sz w:val="24"/>
          <w:szCs w:val="24"/>
          <w:lang w:val="it-IT"/>
        </w:rPr>
        <w:t>quegli impianti nei quali è prevista per i rifiuti stoccati la sola operazione [R13].</w:t>
      </w:r>
    </w:p>
    <w:p>
      <w:pPr>
        <w:pStyle w:val="Normal"/>
        <w:ind w:left="709" w:hanging="283"/>
        <w:jc w:val="both"/>
        <w:rPr>
          <w:rFonts w:ascii="Times New Roman" w:hAnsi="Times New Roman" w:cs="Times New Roman"/>
          <w:sz w:val="24"/>
          <w:szCs w:val="24"/>
          <w:lang w:val="it-IT"/>
        </w:rPr>
      </w:pPr>
      <w:r>
        <w:rPr>
          <w:rFonts w:cs="Times New Roman" w:ascii="Times New Roman" w:hAnsi="Times New Roman"/>
          <w:sz w:val="24"/>
          <w:szCs w:val="24"/>
          <w:lang w:val="it-IT"/>
        </w:rPr>
        <w:t>q) La validità dell’autorizzazione rilasciata è subordinata alla prestazione di una polizza di fideiussione bancaria od assicurativa, con validità pari alla durata dell’autorizzazione + 1 anno (art. 6 della D.G.R. Lombardia n° VII/19461 del 19.11.2004), finalizzata al ripristino ambientale in caso di danni causati dalla gestione dell’impianto. Tale fidejussione viene acquisita dall’Ente che ha rilasciato il provvedimento autorizzativo e svincolata solo al termine dell’attività dell’impianto, a seguito della favorevole conclusione degli accertamenti per la verifica dell’assenza di danni ambientali. La fidejussione prestata è: a) abbattuta del 90 % (quindi ridotta al 10% del valore inizialmente calcolato) per le frazioni messe in riserva per essere avviate a recupero [operazione R13] se i quantitativi in stoccaggio sono avviati all’effettivo recupero entro 6 mesi dall’accettazione; b) abbattuta del 40 o 50 % del totale (ridotta quindi al 60 o al 50% del valore inizialmente calcolato), secondo quanto disposto dall’art.3 comma 2 bis del Decreto Legge 26.11.2010, n° 196, come modificato dalla Legge di conversione del 24.01.2011, n° 1, nel caso in cui l’attività dell’impianto goda di certificazione ambientale (rispettivamente UNI EN ISO 14001 o EMAS).</w:t>
      </w:r>
    </w:p>
    <w:p>
      <w:pPr>
        <w:pStyle w:val="Normal"/>
        <w:spacing w:before="0" w:after="0"/>
        <w:ind w:left="709" w:hanging="283"/>
        <w:jc w:val="both"/>
        <w:rPr>
          <w:rFonts w:ascii="Times New Roman" w:hAnsi="Times New Roman" w:cs="Times New Roman"/>
          <w:sz w:val="24"/>
          <w:szCs w:val="24"/>
          <w:lang w:val="it-IT"/>
        </w:rPr>
      </w:pPr>
      <w:r>
        <w:rPr>
          <w:rFonts w:cs="Times New Roman" w:ascii="Times New Roman" w:hAnsi="Times New Roman"/>
          <w:sz w:val="24"/>
          <w:szCs w:val="24"/>
          <w:lang w:val="it-IT"/>
        </w:rPr>
        <w:t>r) Per ogni istanza presentata, è previsto il pagamento degli oneri istruttori, il cui importo dipende dalla tipologia di istruttoria che si rende necessaria: nuovo impianto, rinnovo tal quale, rinnovo con variante sostanziale, rinnovo con variante non sostanziale, variante sostanziale, variante non sostanziale, modifiche amministrative. Inoltre, l’istanza va presentata apponendovi una marca da bollo da 16 euro e per il ritiro dell’atto dovranno essere acquistate ed annullate un’altra marca da bollo da 16 € per l’atto ed una da 1 € per ogni allegato presente.</w:t>
      </w:r>
    </w:p>
    <w:p>
      <w:pPr>
        <w:pStyle w:val="Normal"/>
        <w:spacing w:before="0" w:after="0"/>
        <w:ind w:left="709" w:hanging="283"/>
        <w:jc w:val="both"/>
        <w:rPr/>
      </w:pPr>
      <w:r>
        <w:rPr>
          <w:rFonts w:cs="Times New Roman" w:ascii="Times New Roman" w:hAnsi="Times New Roman"/>
          <w:sz w:val="24"/>
          <w:szCs w:val="24"/>
          <w:lang w:val="it-IT"/>
        </w:rPr>
        <w:t xml:space="preserve">     </w:t>
      </w:r>
      <w:r>
        <w:rPr>
          <w:rFonts w:cs="Times New Roman" w:ascii="Times New Roman" w:hAnsi="Times New Roman"/>
          <w:sz w:val="24"/>
          <w:szCs w:val="24"/>
          <w:lang w:val="it-IT"/>
        </w:rPr>
        <w:t>Rimangono esclusi dall’obbligo di apporre la marca da bollo sull’istanza e sulla successiva autorizzazione, ai sensi del punto 16 della tabella costituente l’allegato B del DPR n° 642/1972 e s.m.i., Comuni e Consorzi di Comuni che provvedano in prima persona all’invio dell’istanza risultando i futuri titolari dell’autorizzazione.</w:t>
      </w:r>
    </w:p>
    <w:sectPr>
      <w:type w:val="nextPage"/>
      <w:pgSz w:w="11906" w:h="16838"/>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imes New Roman">
    <w:charset w:val="01"/>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1882"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ind w:left="720" w:hanging="360"/>
      </w:pPr>
      <w:rPr>
        <w:rFonts w:ascii="Wingdings" w:hAnsi="Wingdings" w:cs="Wingdings" w:hint="default"/>
        <w:sz w:val="24"/>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bullet"/>
      <w:lvlText w:val=""/>
      <w:lvlJc w:val="left"/>
      <w:pPr>
        <w:ind w:left="720" w:hanging="360"/>
      </w:pPr>
      <w:rPr>
        <w:rFonts w:ascii="Wingdings" w:hAnsi="Wingdings" w:cs="Wingdings" w:hint="default"/>
        <w:sz w:val="24"/>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2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en-GB"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eastAsia="Calibri"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libri" w:cs="Times New Roman"/>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ascii="Times New Roman" w:hAnsi="Times New Roman" w:eastAsia="Calibri" w:cs="Times New Roman"/>
      <w:sz w:val="24"/>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eastAsia="Calibri" w:cs="Times New Roman"/>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ascii="Times New Roman" w:hAnsi="Times New Roman" w:cs="Times New Roman"/>
      <w:sz w:val="24"/>
    </w:rPr>
  </w:style>
  <w:style w:type="character" w:styleId="ListLabel21">
    <w:name w:val="ListLabel 21"/>
    <w:qFormat/>
    <w:rPr>
      <w:rFonts w:ascii="Times New Roman" w:hAnsi="Times New Roman" w:cs="Wingdings"/>
      <w:sz w:val="24"/>
    </w:rPr>
  </w:style>
  <w:style w:type="character" w:styleId="ListLabel22">
    <w:name w:val="ListLabel 22"/>
    <w:qFormat/>
    <w:rPr>
      <w:rFonts w:cs="Courier New"/>
    </w:rPr>
  </w:style>
  <w:style w:type="character" w:styleId="ListLabel23">
    <w:name w:val="ListLabel 23"/>
    <w:qFormat/>
    <w:rPr>
      <w:rFonts w:cs="Wingdings"/>
    </w:rPr>
  </w:style>
  <w:style w:type="character" w:styleId="ListLabel24">
    <w:name w:val="ListLabel 24"/>
    <w:qFormat/>
    <w:rPr>
      <w:rFonts w:cs="Symbol"/>
    </w:rPr>
  </w:style>
  <w:style w:type="character" w:styleId="ListLabel25">
    <w:name w:val="ListLabel 25"/>
    <w:qFormat/>
    <w:rPr>
      <w:rFonts w:cs="Courier New"/>
    </w:rPr>
  </w:style>
  <w:style w:type="character" w:styleId="ListLabel26">
    <w:name w:val="ListLabel 26"/>
    <w:qFormat/>
    <w:rPr>
      <w:rFonts w:cs="Wingdings"/>
    </w:rPr>
  </w:style>
  <w:style w:type="character" w:styleId="ListLabel27">
    <w:name w:val="ListLabel 27"/>
    <w:qFormat/>
    <w:rPr>
      <w:rFonts w:cs="Symbol"/>
    </w:rPr>
  </w:style>
  <w:style w:type="character" w:styleId="ListLabel28">
    <w:name w:val="ListLabel 28"/>
    <w:qFormat/>
    <w:rPr>
      <w:rFonts w:cs="Courier New"/>
    </w:rPr>
  </w:style>
  <w:style w:type="character" w:styleId="ListLabel29">
    <w:name w:val="ListLabel 29"/>
    <w:qFormat/>
    <w:rPr>
      <w:rFonts w:cs="Wingdings"/>
    </w:rPr>
  </w:style>
  <w:style w:type="character" w:styleId="ListLabel30">
    <w:name w:val="ListLabel 30"/>
    <w:qFormat/>
    <w:rPr>
      <w:rFonts w:ascii="Times New Roman" w:hAnsi="Times New Roman" w:cs="Wingdings"/>
      <w:sz w:val="24"/>
    </w:rPr>
  </w:style>
  <w:style w:type="character" w:styleId="ListLabel31">
    <w:name w:val="ListLabel 31"/>
    <w:qFormat/>
    <w:rPr>
      <w:rFonts w:cs="Courier New"/>
    </w:rPr>
  </w:style>
  <w:style w:type="character" w:styleId="ListLabel32">
    <w:name w:val="ListLabel 32"/>
    <w:qFormat/>
    <w:rPr>
      <w:rFonts w:cs="Wingdings"/>
    </w:rPr>
  </w:style>
  <w:style w:type="character" w:styleId="ListLabel33">
    <w:name w:val="ListLabel 33"/>
    <w:qFormat/>
    <w:rPr>
      <w:rFonts w:cs="Symbol"/>
    </w:rPr>
  </w:style>
  <w:style w:type="character" w:styleId="ListLabel34">
    <w:name w:val="ListLabel 34"/>
    <w:qFormat/>
    <w:rPr>
      <w:rFonts w:cs="Courier New"/>
    </w:rPr>
  </w:style>
  <w:style w:type="character" w:styleId="ListLabel35">
    <w:name w:val="ListLabel 35"/>
    <w:qFormat/>
    <w:rPr>
      <w:rFonts w:cs="Wingdings"/>
    </w:rPr>
  </w:style>
  <w:style w:type="character" w:styleId="ListLabel36">
    <w:name w:val="ListLabel 36"/>
    <w:qFormat/>
    <w:rPr>
      <w:rFonts w:cs="Symbol"/>
    </w:rPr>
  </w:style>
  <w:style w:type="character" w:styleId="ListLabel37">
    <w:name w:val="ListLabel 37"/>
    <w:qFormat/>
    <w:rPr>
      <w:rFonts w:cs="Courier New"/>
    </w:rPr>
  </w:style>
  <w:style w:type="character" w:styleId="ListLabel38">
    <w:name w:val="ListLabel 38"/>
    <w:qFormat/>
    <w:rPr>
      <w:rFonts w:cs="Wingdings"/>
    </w:rPr>
  </w:style>
  <w:style w:type="character" w:styleId="ListLabel39">
    <w:name w:val="ListLabel 39"/>
    <w:qFormat/>
    <w:rPr>
      <w:rFonts w:ascii="Times New Roman" w:hAnsi="Times New Roman" w:cs="Times New Roman"/>
      <w:sz w:val="24"/>
    </w:rPr>
  </w:style>
  <w:style w:type="character" w:styleId="ListLabel40">
    <w:name w:val="ListLabel 40"/>
    <w:qFormat/>
    <w:rPr>
      <w:rFonts w:ascii="Times New Roman" w:hAnsi="Times New Roman" w:cs="Wingdings"/>
      <w:sz w:val="24"/>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ascii="Times New Roman" w:hAnsi="Times New Roman" w:cs="Wingdings"/>
      <w:sz w:val="24"/>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paragraph" w:styleId="Titolo">
    <w:name w:val="Titolo"/>
    <w:basedOn w:val="Normal"/>
    <w:next w:val="Corpodeltesto"/>
    <w:qFormat/>
    <w:pPr>
      <w:keepNext/>
      <w:spacing w:before="240" w:after="120"/>
    </w:pPr>
    <w:rPr>
      <w:rFonts w:ascii="Liberation Sans" w:hAnsi="Liberation Sans" w:eastAsia="Microsoft YaHei" w:cs="Arial Unicode M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paragraph" w:styleId="ListParagraph">
    <w:name w:val="List Paragraph"/>
    <w:basedOn w:val="Normal"/>
    <w:uiPriority w:val="34"/>
    <w:qFormat/>
    <w:rsid w:val="00ec33f3"/>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2F5A8-2E4E-44CC-9FE5-9D9156233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1830</TotalTime>
  <Application>LibreOffice/5.2.5.1$Windows_x86 LibreOffice_project/0312e1a284a7d50ca85a365c316c7abbf20a4d22</Application>
  <Pages>15</Pages>
  <Words>7386</Words>
  <Characters>44314</Characters>
  <CharactersWithSpaces>51527</CharactersWithSpaces>
  <Paragraphs>134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2020-05-19T11:26:00Z</dcterms:created>
  <dc:creator>David Ellis</dc:creator>
  <dc:description/>
  <dc:language>it-IT</dc:language>
  <cp:lastModifiedBy/>
  <dcterms:modified xsi:type="dcterms:W3CDTF">2020-06-22T17:02:29Z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